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ascii="仿宋_GB2312" w:eastAsia="仿宋_GB2312"/>
          <w:color w:val="000000"/>
          <w:szCs w:val="21"/>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eastAsia="仿宋_GB2312"/>
          <w:color w:val="000000"/>
          <w:szCs w:val="21"/>
        </w:rPr>
      </w:pPr>
    </w:p>
    <w:p>
      <w:pPr>
        <w:pStyle w:val="2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rPr>
      </w:pPr>
    </w:p>
    <w:p>
      <w:pPr>
        <w:pStyle w:val="2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eastAsia="仿宋_GB2312"/>
          <w:color w:val="000000"/>
          <w:szCs w:val="21"/>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eastAsia="仿宋_GB2312"/>
          <w:color w:val="000000"/>
          <w:szCs w:val="21"/>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仿宋_GB2312" w:eastAsia="仿宋_GB2312"/>
          <w:color w:val="000000"/>
          <w:szCs w:val="21"/>
        </w:rPr>
      </w:pPr>
      <w:bookmarkStart w:id="0" w:name="_GoBack"/>
      <w:r>
        <w:rPr>
          <w:rFonts w:hint="eastAsia" w:ascii="仿宋_GB2312" w:eastAsia="仿宋_GB2312"/>
          <w:sz w:val="32"/>
        </w:rPr>
        <w:t>玉</w:t>
      </w:r>
      <w:r>
        <w:rPr>
          <w:rFonts w:hint="eastAsia" w:ascii="仿宋_GB2312" w:eastAsia="仿宋_GB2312"/>
          <w:sz w:val="32"/>
          <w:lang w:eastAsia="zh-CN"/>
        </w:rPr>
        <w:t>政</w:t>
      </w:r>
      <w:r>
        <w:rPr>
          <w:rFonts w:hint="eastAsia" w:ascii="仿宋_GB2312" w:eastAsia="仿宋_GB2312"/>
          <w:sz w:val="32"/>
        </w:rPr>
        <w:t>〔20</w:t>
      </w:r>
      <w:r>
        <w:rPr>
          <w:rFonts w:hint="eastAsia" w:ascii="仿宋_GB2312" w:eastAsia="仿宋_GB2312"/>
          <w:sz w:val="32"/>
          <w:lang w:val="en-US" w:eastAsia="zh-CN"/>
        </w:rPr>
        <w:t>22</w:t>
      </w:r>
      <w:r>
        <w:rPr>
          <w:rFonts w:hint="eastAsia" w:ascii="仿宋_GB2312" w:eastAsia="仿宋_GB2312"/>
          <w:sz w:val="32"/>
        </w:rPr>
        <w:t>〕</w:t>
      </w:r>
      <w:r>
        <w:rPr>
          <w:rFonts w:hint="eastAsia" w:ascii="仿宋_GB2312" w:eastAsia="仿宋_GB2312"/>
          <w:sz w:val="32"/>
          <w:lang w:val="en-US" w:eastAsia="zh-CN"/>
        </w:rPr>
        <w:t>26</w:t>
      </w:r>
      <w:r>
        <w:rPr>
          <w:rFonts w:hint="eastAsia" w:ascii="仿宋_GB2312" w:eastAsia="仿宋_GB2312"/>
          <w:sz w:val="32"/>
        </w:rPr>
        <w:t>号</w:t>
      </w:r>
    </w:p>
    <w:bookmarkEnd w:id="0"/>
    <w:p>
      <w:pPr>
        <w:keepNext w:val="0"/>
        <w:keepLines w:val="0"/>
        <w:pageBreakBefore w:val="0"/>
        <w:widowControl w:val="0"/>
        <w:tabs>
          <w:tab w:val="left" w:pos="1650"/>
        </w:tabs>
        <w:kinsoku/>
        <w:wordWrap/>
        <w:overflowPunct/>
        <w:topLinePunct w:val="0"/>
        <w:autoSpaceDE/>
        <w:autoSpaceDN/>
        <w:bidi w:val="0"/>
        <w:adjustRightInd/>
        <w:snapToGrid/>
        <w:spacing w:line="600" w:lineRule="exact"/>
        <w:ind w:firstLine="320" w:firstLineChars="100"/>
        <w:jc w:val="both"/>
        <w:textAlignment w:val="auto"/>
        <w:outlineLvl w:val="9"/>
        <w:rPr>
          <w:rFonts w:hint="eastAsia" w:ascii="仿宋_GB2312" w:eastAsia="仿宋_GB2312"/>
          <w:sz w:val="32"/>
          <w:lang w:val="en-US" w:eastAsia="zh-CN"/>
        </w:rPr>
      </w:pPr>
      <w:r>
        <w:rPr>
          <w:rFonts w:hint="eastAsia" w:ascii="仿宋_GB2312" w:eastAsia="仿宋_GB2312"/>
          <w:sz w:val="32"/>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关于做好安全生产专项整治三年行动</w:t>
      </w:r>
    </w:p>
    <w:p>
      <w:pPr>
        <w:keepNext w:val="0"/>
        <w:keepLines w:val="0"/>
        <w:pageBreakBefore w:val="0"/>
        <w:widowControl/>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巩固提升阶段工作的通知</w:t>
      </w:r>
    </w:p>
    <w:p>
      <w:pPr>
        <w:keepNext w:val="0"/>
        <w:keepLines w:val="0"/>
        <w:pageBreakBefore w:val="0"/>
        <w:widowControl/>
        <w:kinsoku/>
        <w:wordWrap/>
        <w:overflowPunct/>
        <w:topLinePunct w:val="0"/>
        <w:autoSpaceDE/>
        <w:autoSpaceDN/>
        <w:bidi w:val="0"/>
        <w:adjustRightInd/>
        <w:snapToGrid/>
        <w:spacing w:after="0" w:afterAutospacing="0" w:line="560" w:lineRule="exact"/>
        <w:ind w:firstLine="640" w:firstLineChars="200"/>
        <w:jc w:val="both"/>
        <w:textAlignment w:val="auto"/>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snapToGrid/>
        <w:spacing w:after="0" w:afterAutospacing="0" w:line="560" w:lineRule="exact"/>
        <w:ind w:left="0" w:leftChars="0" w:firstLine="0" w:firstLineChars="0"/>
        <w:jc w:val="both"/>
        <w:textAlignment w:val="auto"/>
        <w:rPr>
          <w:rFonts w:hint="eastAsia" w:ascii="仿宋_GB2312" w:eastAsia="仿宋_GB2312"/>
          <w:sz w:val="32"/>
          <w:szCs w:val="32"/>
        </w:rPr>
      </w:pPr>
      <w:r>
        <w:rPr>
          <w:rFonts w:hint="eastAsia" w:ascii="仿宋_GB2312" w:eastAsia="仿宋_GB2312"/>
          <w:sz w:val="32"/>
          <w:szCs w:val="32"/>
        </w:rPr>
        <w:t>机关各部门，各社区、居委会，安委会各成员单位，各重点企业：</w:t>
      </w:r>
    </w:p>
    <w:p>
      <w:pPr>
        <w:keepNext w:val="0"/>
        <w:keepLines w:val="0"/>
        <w:pageBreakBefore w:val="0"/>
        <w:widowControl/>
        <w:kinsoku/>
        <w:wordWrap/>
        <w:overflowPunct/>
        <w:topLinePunct w:val="0"/>
        <w:autoSpaceDE/>
        <w:autoSpaceDN/>
        <w:bidi w:val="0"/>
        <w:adjustRightInd/>
        <w:snapToGrid/>
        <w:spacing w:after="0" w:afterAutospacing="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为深入贯彻落实全国、全省安全生产电视电话会议精神，扎实推进安全生产专项整治三年行动，坚决遏制重特大事故、控制较大事故数量、减少事故总量，切实抓好安全生产专项整治三年行动计划巩固提升阶段各项工作，</w:t>
      </w:r>
      <w:r>
        <w:rPr>
          <w:rFonts w:ascii="仿宋_GB2312" w:eastAsia="仿宋_GB2312"/>
          <w:sz w:val="32"/>
          <w:szCs w:val="32"/>
        </w:rPr>
        <w:t>根据示范区安委会相关工作要求，</w:t>
      </w:r>
      <w:r>
        <w:rPr>
          <w:rFonts w:hint="eastAsia" w:ascii="仿宋_GB2312" w:eastAsia="仿宋_GB2312"/>
          <w:sz w:val="32"/>
          <w:szCs w:val="32"/>
        </w:rPr>
        <w:t>现将有关事项通知如下：</w:t>
      </w:r>
    </w:p>
    <w:p>
      <w:pPr>
        <w:keepNext w:val="0"/>
        <w:keepLines w:val="0"/>
        <w:pageBreakBefore w:val="0"/>
        <w:widowControl/>
        <w:kinsoku/>
        <w:wordWrap/>
        <w:overflowPunct/>
        <w:topLinePunct w:val="0"/>
        <w:autoSpaceDE/>
        <w:autoSpaceDN/>
        <w:bidi w:val="0"/>
        <w:adjustRightInd/>
        <w:snapToGrid/>
        <w:spacing w:after="0" w:afterAutospacing="0" w:line="560" w:lineRule="exact"/>
        <w:ind w:firstLine="640" w:firstLineChars="200"/>
        <w:jc w:val="both"/>
        <w:textAlignment w:val="auto"/>
        <w:rPr>
          <w:rFonts w:hint="eastAsia" w:ascii="黑体" w:eastAsia="黑体"/>
          <w:sz w:val="32"/>
          <w:szCs w:val="32"/>
        </w:rPr>
      </w:pPr>
      <w:r>
        <w:rPr>
          <w:rFonts w:hint="eastAsia" w:ascii="黑体" w:eastAsia="黑体"/>
          <w:sz w:val="32"/>
          <w:szCs w:val="32"/>
        </w:rPr>
        <w:t>一、实施对标对表法，做实部署要求</w:t>
      </w:r>
    </w:p>
    <w:p>
      <w:pPr>
        <w:keepNext w:val="0"/>
        <w:keepLines w:val="0"/>
        <w:pageBreakBefore w:val="0"/>
        <w:widowControl/>
        <w:kinsoku/>
        <w:wordWrap/>
        <w:overflowPunct/>
        <w:topLinePunct w:val="0"/>
        <w:autoSpaceDE/>
        <w:autoSpaceDN/>
        <w:bidi w:val="0"/>
        <w:adjustRightInd/>
        <w:snapToGrid/>
        <w:spacing w:after="0" w:afterAutospacing="0" w:line="560" w:lineRule="exact"/>
        <w:ind w:firstLine="640" w:firstLineChars="200"/>
        <w:jc w:val="both"/>
        <w:textAlignment w:val="auto"/>
        <w:rPr>
          <w:rFonts w:hint="eastAsia" w:ascii="仿宋_GB2312" w:eastAsia="仿宋_GB2312" w:cs="Arial"/>
          <w:sz w:val="32"/>
          <w:szCs w:val="32"/>
        </w:rPr>
      </w:pPr>
      <w:r>
        <w:rPr>
          <w:rFonts w:hint="eastAsia" w:ascii="仿宋_GB2312" w:eastAsia="仿宋_GB2312" w:cs="Arial"/>
          <w:sz w:val="32"/>
          <w:szCs w:val="32"/>
        </w:rPr>
        <w:t>对标对表党中央、国务院关于安全生产的决策部署和省委省政府、示范区党工委、管委会的工作要求，做到“任务一布置、马上抓落实，工作一部署、马上去推动，工作一完成、马上就反馈”。</w:t>
      </w:r>
      <w:r>
        <w:rPr>
          <w:rFonts w:hint="eastAsia" w:ascii="仿宋_GB2312" w:eastAsia="仿宋_GB2312"/>
          <w:b/>
          <w:bCs/>
          <w:sz w:val="32"/>
          <w:szCs w:val="32"/>
        </w:rPr>
        <w:t>一是</w:t>
      </w:r>
      <w:r>
        <w:rPr>
          <w:rFonts w:hint="eastAsia" w:ascii="仿宋_GB2312" w:eastAsia="仿宋_GB2312" w:cs="Arial"/>
          <w:sz w:val="32"/>
          <w:szCs w:val="32"/>
        </w:rPr>
        <w:t>将习近平总书记关于安全生产重要论述纳入党工委宣传工作重点和干部培训内容，持续深入贯彻落实习近平总书记关于安全生产重要论述和指示批示精神，部署开展经常性、系统性宣讲活动，实现学习教育全覆盖。</w:t>
      </w:r>
      <w:r>
        <w:rPr>
          <w:rFonts w:hint="eastAsia" w:ascii="仿宋_GB2312" w:eastAsia="仿宋_GB2312"/>
          <w:b/>
          <w:bCs/>
          <w:sz w:val="32"/>
          <w:szCs w:val="32"/>
        </w:rPr>
        <w:t>二是</w:t>
      </w:r>
      <w:r>
        <w:rPr>
          <w:rFonts w:hint="eastAsia" w:ascii="仿宋_GB2312" w:eastAsia="仿宋_GB2312" w:cs="Arial"/>
          <w:sz w:val="32"/>
          <w:szCs w:val="32"/>
        </w:rPr>
        <w:t>迅速贯彻落实全国、全省、示范区安全生产领域的重要会议、重要文件精神和重大决策部署，提出具体落实方案，并按照规定时限和要求报送贯彻落实情况。</w:t>
      </w:r>
      <w:r>
        <w:rPr>
          <w:rFonts w:hint="eastAsia" w:ascii="仿宋_GB2312" w:eastAsia="仿宋_GB2312"/>
          <w:b/>
          <w:bCs/>
          <w:sz w:val="32"/>
          <w:szCs w:val="32"/>
        </w:rPr>
        <w:t>三是</w:t>
      </w:r>
      <w:r>
        <w:rPr>
          <w:rFonts w:hint="eastAsia" w:ascii="仿宋_GB2312" w:eastAsia="仿宋_GB2312" w:cs="Arial"/>
          <w:sz w:val="32"/>
          <w:szCs w:val="32"/>
        </w:rPr>
        <w:t>各部门针对街道安委会的工作安排，在20天内提出具体工作措施，按照要求报送贯彻落实情况。</w:t>
      </w:r>
    </w:p>
    <w:p>
      <w:pPr>
        <w:keepNext w:val="0"/>
        <w:keepLines w:val="0"/>
        <w:pageBreakBefore w:val="0"/>
        <w:widowControl/>
        <w:kinsoku/>
        <w:wordWrap/>
        <w:overflowPunct/>
        <w:topLinePunct w:val="0"/>
        <w:autoSpaceDE/>
        <w:autoSpaceDN/>
        <w:bidi w:val="0"/>
        <w:adjustRightInd/>
        <w:snapToGrid/>
        <w:spacing w:after="0" w:afterAutospacing="0" w:line="560" w:lineRule="exact"/>
        <w:ind w:firstLine="640" w:firstLineChars="200"/>
        <w:jc w:val="both"/>
        <w:textAlignment w:val="auto"/>
        <w:rPr>
          <w:rFonts w:hint="eastAsia" w:ascii="黑体" w:eastAsia="黑体"/>
          <w:sz w:val="32"/>
          <w:szCs w:val="32"/>
        </w:rPr>
      </w:pPr>
      <w:r>
        <w:rPr>
          <w:rFonts w:hint="eastAsia" w:ascii="黑体" w:eastAsia="黑体"/>
          <w:sz w:val="32"/>
          <w:szCs w:val="32"/>
        </w:rPr>
        <w:t>二、实施项目工作法，做精目标任务</w:t>
      </w:r>
    </w:p>
    <w:p>
      <w:pPr>
        <w:keepNext w:val="0"/>
        <w:keepLines w:val="0"/>
        <w:pageBreakBefore w:val="0"/>
        <w:widowControl/>
        <w:kinsoku/>
        <w:wordWrap/>
        <w:overflowPunct/>
        <w:topLinePunct w:val="0"/>
        <w:autoSpaceDE/>
        <w:autoSpaceDN/>
        <w:bidi w:val="0"/>
        <w:adjustRightInd/>
        <w:snapToGrid/>
        <w:spacing w:after="0" w:afterAutospacing="0" w:line="560" w:lineRule="exact"/>
        <w:ind w:firstLine="640" w:firstLineChars="200"/>
        <w:jc w:val="both"/>
        <w:textAlignment w:val="auto"/>
        <w:rPr>
          <w:rFonts w:hint="eastAsia" w:ascii="仿宋_GB2312" w:eastAsia="仿宋_GB2312" w:cs="Arial"/>
          <w:sz w:val="32"/>
          <w:szCs w:val="32"/>
        </w:rPr>
      </w:pPr>
      <w:r>
        <w:rPr>
          <w:rFonts w:hint="eastAsia" w:ascii="仿宋_GB2312" w:eastAsia="仿宋_GB2312" w:cs="Arial"/>
          <w:sz w:val="32"/>
          <w:szCs w:val="32"/>
        </w:rPr>
        <w:t>认真梳理本部门涉及的工作任务，分领域、分条块、分层次打包立项、分解任务、分级管理，逐项抓好落实。</w:t>
      </w:r>
      <w:r>
        <w:rPr>
          <w:rFonts w:hint="eastAsia" w:ascii="仿宋_GB2312" w:eastAsia="仿宋_GB2312"/>
          <w:b/>
          <w:bCs/>
          <w:sz w:val="32"/>
          <w:szCs w:val="32"/>
        </w:rPr>
        <w:t>一是</w:t>
      </w:r>
      <w:r>
        <w:rPr>
          <w:rFonts w:hint="eastAsia" w:ascii="仿宋_GB2312" w:eastAsia="仿宋_GB2312" w:cs="Arial"/>
          <w:sz w:val="32"/>
          <w:szCs w:val="32"/>
        </w:rPr>
        <w:t>认真落实专项整治三年行动巩固提升阶段问题、任务、责任“三个清单”，实化细化责任措施、完成时限和责任人，倒排时间、倒逼责任，形成责任链条。</w:t>
      </w:r>
      <w:r>
        <w:rPr>
          <w:rFonts w:hint="eastAsia" w:ascii="仿宋_GB2312" w:eastAsia="仿宋_GB2312"/>
          <w:b/>
          <w:bCs/>
          <w:sz w:val="32"/>
          <w:szCs w:val="32"/>
        </w:rPr>
        <w:t>二是</w:t>
      </w:r>
      <w:r>
        <w:rPr>
          <w:rFonts w:hint="eastAsia" w:ascii="仿宋_GB2312" w:eastAsia="仿宋_GB2312" w:cs="Arial"/>
          <w:sz w:val="32"/>
          <w:szCs w:val="32"/>
        </w:rPr>
        <w:t>各部门要针对《玉泉街道安全生产专项整治三年行动计划》中明确的各项工作任务，已有成效的要巩固提升，已经破题的要深入攻坚，没有破题的要重点突破，针对各专题巩固提升阶段的“问题清单”，要实施“挂图作战”抓进度、“倒排工期”抓推进、“销号管理”抓落实。</w:t>
      </w:r>
      <w:r>
        <w:rPr>
          <w:rFonts w:hint="eastAsia" w:ascii="仿宋_GB2312" w:eastAsia="仿宋_GB2312"/>
          <w:b/>
          <w:bCs/>
          <w:sz w:val="32"/>
          <w:szCs w:val="32"/>
        </w:rPr>
        <w:t>三是</w:t>
      </w:r>
      <w:r>
        <w:rPr>
          <w:rFonts w:hint="eastAsia" w:ascii="仿宋_GB2312" w:eastAsia="仿宋_GB2312" w:cs="Arial"/>
          <w:sz w:val="32"/>
          <w:szCs w:val="32"/>
        </w:rPr>
        <w:t>动态更新问题隐患和制度措施两个清单，深入分析本行业领域安全生产共性问题和突出隐患，深挖背后的深层次矛盾和原因，健全制度机制，完善防范措施，标本兼治从根本上解决问题。</w:t>
      </w:r>
    </w:p>
    <w:p>
      <w:pPr>
        <w:keepNext w:val="0"/>
        <w:keepLines w:val="0"/>
        <w:pageBreakBefore w:val="0"/>
        <w:widowControl/>
        <w:kinsoku/>
        <w:wordWrap/>
        <w:overflowPunct/>
        <w:topLinePunct w:val="0"/>
        <w:autoSpaceDE/>
        <w:autoSpaceDN/>
        <w:bidi w:val="0"/>
        <w:adjustRightInd/>
        <w:snapToGrid/>
        <w:spacing w:after="0" w:afterAutospacing="0" w:line="560" w:lineRule="exact"/>
        <w:ind w:firstLine="640" w:firstLineChars="200"/>
        <w:jc w:val="both"/>
        <w:textAlignment w:val="auto"/>
        <w:rPr>
          <w:rFonts w:hint="eastAsia" w:ascii="黑体" w:eastAsia="黑体"/>
          <w:sz w:val="32"/>
          <w:szCs w:val="32"/>
        </w:rPr>
      </w:pPr>
      <w:r>
        <w:rPr>
          <w:rFonts w:hint="eastAsia" w:ascii="黑体" w:eastAsia="黑体"/>
          <w:sz w:val="32"/>
          <w:szCs w:val="32"/>
        </w:rPr>
        <w:t>三、实施一线工作法，做深隐患整治</w:t>
      </w:r>
    </w:p>
    <w:p>
      <w:pPr>
        <w:keepNext w:val="0"/>
        <w:keepLines w:val="0"/>
        <w:pageBreakBefore w:val="0"/>
        <w:widowControl/>
        <w:kinsoku/>
        <w:wordWrap/>
        <w:overflowPunct/>
        <w:topLinePunct w:val="0"/>
        <w:autoSpaceDE/>
        <w:autoSpaceDN/>
        <w:bidi w:val="0"/>
        <w:adjustRightInd/>
        <w:snapToGrid/>
        <w:spacing w:after="0" w:afterAutospacing="0" w:line="560" w:lineRule="exact"/>
        <w:ind w:firstLine="640" w:firstLineChars="200"/>
        <w:jc w:val="both"/>
        <w:textAlignment w:val="auto"/>
        <w:rPr>
          <w:rFonts w:hint="eastAsia" w:ascii="仿宋_GB2312" w:eastAsia="仿宋_GB2312" w:cs="Arial"/>
          <w:sz w:val="32"/>
          <w:szCs w:val="32"/>
        </w:rPr>
      </w:pPr>
      <w:r>
        <w:rPr>
          <w:rFonts w:hint="eastAsia" w:ascii="仿宋_GB2312" w:eastAsia="仿宋_GB2312" w:cs="Arial"/>
          <w:sz w:val="32"/>
          <w:szCs w:val="32"/>
        </w:rPr>
        <w:t>结合“能力作风建设年”暨“7·20”以案促改工作安排，按照“情况在一线掌握、问题在一线解决、风险在一线化解”的要求，分管领导要转变作风、提升效能，深入一线抓落实，协调解决突出问题。</w:t>
      </w:r>
      <w:r>
        <w:rPr>
          <w:rFonts w:hint="eastAsia" w:ascii="仿宋_GB2312" w:eastAsia="仿宋_GB2312"/>
          <w:b/>
          <w:bCs/>
          <w:sz w:val="32"/>
          <w:szCs w:val="32"/>
        </w:rPr>
        <w:t>一是</w:t>
      </w:r>
      <w:r>
        <w:rPr>
          <w:rFonts w:hint="eastAsia" w:ascii="仿宋_GB2312" w:eastAsia="仿宋_GB2312" w:cs="Arial"/>
          <w:sz w:val="32"/>
          <w:szCs w:val="32"/>
        </w:rPr>
        <w:t>充分利用自查、排查、抽查等形式，集中开展地毯式、拉网式大排查、大整治，全方位、无死角、全覆盖排查各类安全隐患，精准摸清底数。</w:t>
      </w:r>
      <w:r>
        <w:rPr>
          <w:rFonts w:hint="eastAsia" w:ascii="仿宋_GB2312" w:eastAsia="仿宋_GB2312"/>
          <w:b/>
          <w:bCs/>
          <w:sz w:val="32"/>
          <w:szCs w:val="32"/>
        </w:rPr>
        <w:t>二是</w:t>
      </w:r>
      <w:r>
        <w:rPr>
          <w:rFonts w:hint="eastAsia" w:ascii="仿宋_GB2312" w:eastAsia="仿宋_GB2312" w:cs="Arial"/>
          <w:sz w:val="32"/>
          <w:szCs w:val="32"/>
        </w:rPr>
        <w:t>要推动整改一批问题隐患，坚持把一个问题当成一类问题来研究，解决一个问题带动整改一类问题，对检查排查中发现的各类隐患动态更新台账，坚持立行立改、限期整改、挂账销账、闭环管理。</w:t>
      </w:r>
      <w:r>
        <w:rPr>
          <w:rFonts w:hint="eastAsia" w:ascii="仿宋_GB2312" w:eastAsia="仿宋_GB2312"/>
          <w:b/>
          <w:bCs/>
          <w:sz w:val="32"/>
          <w:szCs w:val="32"/>
        </w:rPr>
        <w:t>三是</w:t>
      </w:r>
      <w:r>
        <w:rPr>
          <w:rFonts w:hint="eastAsia" w:ascii="仿宋_GB2312" w:eastAsia="仿宋_GB2312" w:cs="Arial"/>
          <w:sz w:val="32"/>
          <w:szCs w:val="32"/>
        </w:rPr>
        <w:t>严格检查监管，落实好《安全生产法》和相关法律法规的规定要求，推进联合监管机制常态化，严厉打击违法违规行为。</w:t>
      </w:r>
    </w:p>
    <w:p>
      <w:pPr>
        <w:keepNext w:val="0"/>
        <w:keepLines w:val="0"/>
        <w:pageBreakBefore w:val="0"/>
        <w:widowControl/>
        <w:kinsoku/>
        <w:wordWrap/>
        <w:overflowPunct/>
        <w:topLinePunct w:val="0"/>
        <w:autoSpaceDE/>
        <w:autoSpaceDN/>
        <w:bidi w:val="0"/>
        <w:adjustRightInd/>
        <w:snapToGrid/>
        <w:spacing w:after="0" w:afterAutospacing="0" w:line="560" w:lineRule="exact"/>
        <w:ind w:firstLine="640" w:firstLineChars="200"/>
        <w:jc w:val="both"/>
        <w:textAlignment w:val="auto"/>
        <w:rPr>
          <w:rFonts w:hint="eastAsia" w:ascii="黑体" w:eastAsia="黑体"/>
          <w:sz w:val="32"/>
          <w:szCs w:val="32"/>
        </w:rPr>
      </w:pPr>
      <w:r>
        <w:rPr>
          <w:rFonts w:hint="eastAsia" w:ascii="黑体" w:eastAsia="黑体"/>
          <w:sz w:val="32"/>
          <w:szCs w:val="32"/>
        </w:rPr>
        <w:t>四、实施典型引路法，做优机制建设</w:t>
      </w:r>
    </w:p>
    <w:p>
      <w:pPr>
        <w:keepNext w:val="0"/>
        <w:keepLines w:val="0"/>
        <w:pageBreakBefore w:val="0"/>
        <w:widowControl/>
        <w:kinsoku/>
        <w:wordWrap/>
        <w:overflowPunct/>
        <w:topLinePunct w:val="0"/>
        <w:autoSpaceDE/>
        <w:autoSpaceDN/>
        <w:bidi w:val="0"/>
        <w:adjustRightInd/>
        <w:snapToGrid/>
        <w:spacing w:after="0" w:afterAutospacing="0" w:line="560" w:lineRule="exact"/>
        <w:ind w:firstLine="640" w:firstLineChars="200"/>
        <w:jc w:val="both"/>
        <w:textAlignment w:val="auto"/>
        <w:rPr>
          <w:rFonts w:hint="eastAsia" w:ascii="仿宋_GB2312" w:eastAsia="仿宋_GB2312" w:cs="Arial"/>
          <w:sz w:val="32"/>
          <w:szCs w:val="32"/>
        </w:rPr>
      </w:pPr>
      <w:r>
        <w:rPr>
          <w:rFonts w:hint="eastAsia" w:ascii="仿宋_GB2312" w:eastAsia="仿宋_GB2312" w:cs="Arial"/>
          <w:sz w:val="32"/>
          <w:szCs w:val="32"/>
        </w:rPr>
        <w:t>大力开展发现培育典型、总结宣传典型、大力推广典型，形成示范引领、比学赶超的良好氛围。</w:t>
      </w:r>
      <w:r>
        <w:rPr>
          <w:rFonts w:hint="eastAsia" w:ascii="仿宋_GB2312" w:eastAsia="仿宋_GB2312"/>
          <w:b/>
          <w:bCs/>
          <w:sz w:val="32"/>
          <w:szCs w:val="32"/>
        </w:rPr>
        <w:t>一是</w:t>
      </w:r>
      <w:r>
        <w:rPr>
          <w:rFonts w:hint="eastAsia" w:ascii="仿宋_GB2312" w:eastAsia="仿宋_GB2312" w:cs="Arial"/>
          <w:sz w:val="32"/>
          <w:szCs w:val="32"/>
        </w:rPr>
        <w:t>归纳、提炼、规范三年行动经验和规律，全面总结推广在责任链条、制度成果、管理办法、保障机制等方面的创新做法和有效经验，以点带面推动建立长效机制。</w:t>
      </w:r>
      <w:r>
        <w:rPr>
          <w:rFonts w:hint="eastAsia" w:ascii="仿宋_GB2312" w:eastAsia="仿宋_GB2312"/>
          <w:b/>
          <w:bCs/>
          <w:sz w:val="32"/>
          <w:szCs w:val="32"/>
        </w:rPr>
        <w:t>二是</w:t>
      </w:r>
      <w:r>
        <w:rPr>
          <w:rFonts w:hint="eastAsia" w:ascii="仿宋_GB2312" w:eastAsia="仿宋_GB2312" w:cs="Arial"/>
          <w:sz w:val="32"/>
          <w:szCs w:val="32"/>
        </w:rPr>
        <w:t>通过召开现场会、观摩会、推进会等方式，让做得好的企业“现身说法”，发挥带动、引领、示范作用，引领各项工作提升。</w:t>
      </w:r>
    </w:p>
    <w:p>
      <w:pPr>
        <w:keepNext w:val="0"/>
        <w:keepLines w:val="0"/>
        <w:pageBreakBefore w:val="0"/>
        <w:widowControl/>
        <w:kinsoku/>
        <w:wordWrap/>
        <w:overflowPunct/>
        <w:topLinePunct w:val="0"/>
        <w:autoSpaceDE/>
        <w:autoSpaceDN/>
        <w:bidi w:val="0"/>
        <w:adjustRightInd/>
        <w:snapToGrid/>
        <w:spacing w:after="0" w:afterAutospacing="0" w:line="560" w:lineRule="exact"/>
        <w:ind w:firstLine="640" w:firstLineChars="200"/>
        <w:jc w:val="both"/>
        <w:textAlignment w:val="auto"/>
        <w:rPr>
          <w:rFonts w:hint="eastAsia" w:ascii="黑体" w:eastAsia="黑体"/>
          <w:sz w:val="32"/>
          <w:szCs w:val="32"/>
        </w:rPr>
      </w:pPr>
      <w:r>
        <w:rPr>
          <w:rFonts w:hint="eastAsia" w:ascii="黑体" w:eastAsia="黑体"/>
          <w:sz w:val="32"/>
          <w:szCs w:val="32"/>
        </w:rPr>
        <w:t>五、实施闭环工作法，做细过程管理</w:t>
      </w:r>
    </w:p>
    <w:p>
      <w:pPr>
        <w:keepNext w:val="0"/>
        <w:keepLines w:val="0"/>
        <w:pageBreakBefore w:val="0"/>
        <w:widowControl/>
        <w:kinsoku/>
        <w:wordWrap/>
        <w:overflowPunct/>
        <w:topLinePunct w:val="0"/>
        <w:autoSpaceDE/>
        <w:autoSpaceDN/>
        <w:bidi w:val="0"/>
        <w:adjustRightInd/>
        <w:snapToGrid/>
        <w:spacing w:after="0" w:afterAutospacing="0" w:line="560" w:lineRule="exact"/>
        <w:ind w:left="0" w:firstLine="640" w:firstLineChars="200"/>
        <w:jc w:val="both"/>
        <w:textAlignment w:val="auto"/>
        <w:rPr>
          <w:rFonts w:hint="eastAsia" w:ascii="仿宋_GB2312" w:eastAsia="仿宋_GB2312" w:cs="Arial"/>
          <w:sz w:val="32"/>
          <w:szCs w:val="32"/>
        </w:rPr>
      </w:pPr>
      <w:r>
        <w:rPr>
          <w:rFonts w:hint="eastAsia" w:ascii="仿宋_GB2312" w:eastAsia="仿宋_GB2312" w:cs="Arial"/>
          <w:sz w:val="32"/>
          <w:szCs w:val="32"/>
        </w:rPr>
        <w:t>加强跟踪督办、分类实施、统筹落实和情况调度，形成“发现问题、整改落实、成效检验、反馈交账”的工作闭环。</w:t>
      </w:r>
      <w:r>
        <w:rPr>
          <w:rFonts w:hint="eastAsia" w:ascii="仿宋_GB2312" w:eastAsia="仿宋_GB2312"/>
          <w:b/>
          <w:bCs/>
          <w:sz w:val="32"/>
          <w:szCs w:val="32"/>
        </w:rPr>
        <w:t>一是</w:t>
      </w:r>
      <w:r>
        <w:rPr>
          <w:rFonts w:hint="eastAsia" w:ascii="仿宋_GB2312" w:eastAsia="仿宋_GB2312" w:cs="Arial"/>
          <w:sz w:val="32"/>
          <w:szCs w:val="32"/>
        </w:rPr>
        <w:t>各部门要落实街道安全生产管理工作制度，针对存在问题做到事前有研究部署、措施方案，事中有沟通提醒、督办反馈，事后有经验总结、考核通报。</w:t>
      </w:r>
      <w:r>
        <w:rPr>
          <w:rFonts w:hint="eastAsia" w:ascii="仿宋_GB2312" w:eastAsia="仿宋_GB2312"/>
          <w:b/>
          <w:bCs/>
          <w:sz w:val="32"/>
          <w:szCs w:val="32"/>
        </w:rPr>
        <w:t>二是</w:t>
      </w:r>
      <w:r>
        <w:rPr>
          <w:rFonts w:hint="eastAsia" w:ascii="仿宋_GB2312" w:eastAsia="仿宋_GB2312" w:cs="Arial"/>
          <w:sz w:val="32"/>
          <w:szCs w:val="32"/>
        </w:rPr>
        <w:t>完善台账资料，以任务清单为主线，按照“一项任务一套资料”的原则，细化总结推进节点，归纳整理各个环节的具体工作，形成一整套闭环完整的台账资料。</w:t>
      </w:r>
      <w:r>
        <w:rPr>
          <w:rFonts w:hint="eastAsia" w:ascii="仿宋_GB2312" w:eastAsia="仿宋_GB2312"/>
          <w:b/>
          <w:bCs/>
          <w:sz w:val="32"/>
          <w:szCs w:val="32"/>
        </w:rPr>
        <w:t>三是</w:t>
      </w:r>
      <w:r>
        <w:rPr>
          <w:rFonts w:hint="eastAsia" w:ascii="仿宋_GB2312" w:eastAsia="仿宋_GB2312" w:cs="Arial"/>
          <w:sz w:val="32"/>
          <w:szCs w:val="32"/>
        </w:rPr>
        <w:t>加强系统指导，强化对重点难点问题的协调推进力度，综合运用通报、约谈、警示、曝光、督办、考核等措施，对整治工作推进不力的单位坚决予以问责。</w:t>
      </w:r>
    </w:p>
    <w:p>
      <w:pPr>
        <w:keepNext w:val="0"/>
        <w:keepLines w:val="0"/>
        <w:pageBreakBefore w:val="0"/>
        <w:widowControl/>
        <w:kinsoku/>
        <w:wordWrap/>
        <w:overflowPunct/>
        <w:topLinePunct w:val="0"/>
        <w:autoSpaceDE/>
        <w:autoSpaceDN/>
        <w:bidi w:val="0"/>
        <w:adjustRightInd/>
        <w:snapToGrid/>
        <w:spacing w:after="0" w:afterAutospacing="0" w:line="560" w:lineRule="exact"/>
        <w:ind w:firstLine="640" w:firstLineChars="200"/>
        <w:jc w:val="both"/>
        <w:textAlignment w:val="auto"/>
        <w:rPr>
          <w:rFonts w:hint="eastAsia" w:ascii="黑体" w:eastAsia="黑体"/>
          <w:sz w:val="32"/>
          <w:szCs w:val="32"/>
        </w:rPr>
      </w:pPr>
      <w:r>
        <w:rPr>
          <w:rFonts w:hint="eastAsia" w:ascii="黑体" w:eastAsia="黑体"/>
          <w:sz w:val="32"/>
          <w:szCs w:val="32"/>
        </w:rPr>
        <w:t>六、实施评估评价法，做强巩固提升</w:t>
      </w:r>
    </w:p>
    <w:p>
      <w:pPr>
        <w:keepNext w:val="0"/>
        <w:keepLines w:val="0"/>
        <w:pageBreakBefore w:val="0"/>
        <w:widowControl/>
        <w:kinsoku/>
        <w:wordWrap/>
        <w:overflowPunct/>
        <w:topLinePunct w:val="0"/>
        <w:autoSpaceDE/>
        <w:autoSpaceDN/>
        <w:bidi w:val="0"/>
        <w:adjustRightInd/>
        <w:snapToGrid/>
        <w:spacing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cs="Arial"/>
          <w:sz w:val="32"/>
          <w:szCs w:val="32"/>
        </w:rPr>
        <w:t>对本辖区、本行业领域安全生产专项整治开展全面检查评估，检验工作落实成效。</w:t>
      </w:r>
      <w:r>
        <w:rPr>
          <w:rFonts w:hint="eastAsia" w:ascii="仿宋_GB2312" w:eastAsia="仿宋_GB2312"/>
          <w:b/>
          <w:bCs/>
          <w:sz w:val="32"/>
          <w:szCs w:val="32"/>
        </w:rPr>
        <w:t>一是</w:t>
      </w:r>
      <w:r>
        <w:rPr>
          <w:rFonts w:hint="eastAsia" w:ascii="仿宋_GB2312" w:eastAsia="仿宋_GB2312" w:cs="Arial"/>
          <w:sz w:val="32"/>
          <w:szCs w:val="32"/>
        </w:rPr>
        <w:t>摸清各行业领域重点企业底数、重大风险隐患底数，梳理总结各项目标任务推进落实情况、各年度重大隐患和一般隐患整改情况、重点制度措施制订完善情况，以及其他亮点特色工作情况。</w:t>
      </w:r>
      <w:r>
        <w:rPr>
          <w:rFonts w:hint="eastAsia" w:ascii="仿宋_GB2312" w:eastAsia="仿宋_GB2312"/>
          <w:b/>
          <w:bCs/>
          <w:sz w:val="32"/>
          <w:szCs w:val="32"/>
        </w:rPr>
        <w:t>二是</w:t>
      </w:r>
      <w:r>
        <w:rPr>
          <w:rFonts w:hint="eastAsia" w:ascii="仿宋_GB2312" w:eastAsia="仿宋_GB2312" w:cs="Arial"/>
          <w:sz w:val="32"/>
          <w:szCs w:val="32"/>
        </w:rPr>
        <w:t>全面梳理本辖区、本行业领域存在的突出问题，并针对存在的问题制定优化提升措施，形成专项报告。</w:t>
      </w:r>
    </w:p>
    <w:p>
      <w:pPr>
        <w:keepNext w:val="0"/>
        <w:keepLines w:val="0"/>
        <w:pageBreakBefore w:val="0"/>
        <w:widowControl/>
        <w:kinsoku/>
        <w:wordWrap/>
        <w:overflowPunct/>
        <w:topLinePunct w:val="0"/>
        <w:autoSpaceDE/>
        <w:autoSpaceDN/>
        <w:bidi w:val="0"/>
        <w:adjustRightInd/>
        <w:snapToGrid/>
        <w:spacing w:after="0" w:afterAutospacing="0" w:line="560" w:lineRule="exact"/>
        <w:ind w:firstLine="640" w:firstLineChars="200"/>
        <w:jc w:val="both"/>
        <w:textAlignment w:val="auto"/>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snapToGrid/>
        <w:spacing w:after="0" w:afterAutospacing="0" w:line="560" w:lineRule="exact"/>
        <w:ind w:left="0" w:firstLine="640" w:firstLineChars="200"/>
        <w:jc w:val="both"/>
        <w:textAlignment w:val="auto"/>
        <w:rPr>
          <w:rFonts w:hint="eastAsia" w:ascii="仿宋_GB2312" w:eastAsia="仿宋_GB2312" w:cs="Arial"/>
          <w:sz w:val="32"/>
          <w:szCs w:val="32"/>
        </w:rPr>
      </w:pPr>
      <w:r>
        <w:rPr>
          <w:rFonts w:hint="eastAsia" w:ascii="仿宋_GB2312" w:eastAsia="仿宋_GB2312" w:cs="Arial"/>
          <w:sz w:val="32"/>
          <w:szCs w:val="32"/>
        </w:rPr>
        <w:t>附件：玉泉街道安全生产专项整治巩固提升阶段“三个清单”</w:t>
      </w:r>
    </w:p>
    <w:p>
      <w:pPr>
        <w:pStyle w:val="2"/>
        <w:rPr>
          <w:rFonts w:hint="eastAsia" w:ascii="仿宋_GB2312" w:eastAsia="仿宋_GB2312" w:cs="Arial"/>
          <w:sz w:val="32"/>
          <w:szCs w:val="32"/>
        </w:rPr>
      </w:pPr>
    </w:p>
    <w:p>
      <w:pPr>
        <w:pStyle w:val="3"/>
        <w:rPr>
          <w:rFonts w:hint="eastAsia" w:ascii="仿宋_GB2312" w:eastAsia="仿宋_GB2312" w:cs="Arial"/>
          <w:sz w:val="32"/>
          <w:szCs w:val="32"/>
        </w:rPr>
      </w:pPr>
    </w:p>
    <w:p>
      <w:pPr>
        <w:rPr>
          <w:rFonts w:hint="eastAsia" w:ascii="仿宋_GB2312" w:eastAsia="仿宋_GB2312" w:cs="Arial"/>
          <w:sz w:val="32"/>
          <w:szCs w:val="32"/>
        </w:rPr>
      </w:pPr>
    </w:p>
    <w:p>
      <w:pPr>
        <w:pStyle w:val="2"/>
        <w:ind w:firstLine="4800" w:firstLineChars="15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2022年5月26日</w:t>
      </w:r>
    </w:p>
    <w:p>
      <w:pPr>
        <w:keepNext w:val="0"/>
        <w:keepLines w:val="0"/>
        <w:pageBreakBefore w:val="0"/>
        <w:widowControl/>
        <w:kinsoku/>
        <w:wordWrap/>
        <w:overflowPunct/>
        <w:topLinePunct w:val="0"/>
        <w:autoSpaceDE/>
        <w:autoSpaceDN/>
        <w:bidi w:val="0"/>
        <w:adjustRightInd/>
        <w:snapToGrid/>
        <w:spacing w:after="0" w:afterAutospacing="0" w:line="560" w:lineRule="exact"/>
        <w:ind w:left="0" w:firstLine="640" w:firstLineChars="200"/>
        <w:jc w:val="both"/>
        <w:textAlignment w:val="auto"/>
        <w:rPr>
          <w:rFonts w:hint="eastAsia" w:ascii="仿宋_GB2312" w:eastAsia="仿宋_GB2312" w:cs="Arial"/>
          <w:sz w:val="32"/>
          <w:szCs w:val="32"/>
        </w:rPr>
      </w:pPr>
    </w:p>
    <w:p>
      <w:pPr>
        <w:pStyle w:val="2"/>
        <w:keepNext w:val="0"/>
        <w:keepLines w:val="0"/>
        <w:pageBreakBefore w:val="0"/>
        <w:widowControl/>
        <w:kinsoku/>
        <w:wordWrap/>
        <w:overflowPunct/>
        <w:topLinePunct w:val="0"/>
        <w:autoSpaceDE/>
        <w:autoSpaceDN/>
        <w:bidi w:val="0"/>
        <w:adjustRightInd/>
        <w:snapToGrid/>
        <w:spacing w:afterAutospacing="0" w:line="560" w:lineRule="exact"/>
        <w:textAlignment w:val="auto"/>
        <w:rPr>
          <w:rFonts w:hint="eastAsia"/>
        </w:rPr>
      </w:pPr>
    </w:p>
    <w:p>
      <w:pPr>
        <w:pStyle w:val="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Bdr>
          <w:top w:val="single" w:color="auto" w:sz="6" w:space="1"/>
          <w:bottom w:val="single" w:color="auto" w:sz="6" w:space="1"/>
        </w:pBdr>
        <w:spacing w:line="560" w:lineRule="exact"/>
        <w:ind w:firstLine="280" w:firstLineChars="100"/>
        <w:rPr>
          <w:rFonts w:hint="eastAsia" w:eastAsia="仿宋_GB2312"/>
          <w:lang w:val="en-US" w:eastAsia="zh-CN"/>
        </w:rPr>
      </w:pPr>
      <w:r>
        <w:rPr>
          <w:rFonts w:hint="eastAsia" w:ascii="仿宋_GB2312" w:eastAsia="仿宋_GB2312"/>
          <w:sz w:val="28"/>
          <w:szCs w:val="28"/>
        </w:rPr>
        <w:t>玉泉街道</w:t>
      </w:r>
      <w:r>
        <w:rPr>
          <w:rFonts w:hint="eastAsia" w:ascii="仿宋_GB2312" w:eastAsia="仿宋_GB2312"/>
          <w:sz w:val="28"/>
          <w:szCs w:val="28"/>
          <w:lang w:eastAsia="zh-CN"/>
        </w:rPr>
        <w:t>党政</w:t>
      </w:r>
      <w:r>
        <w:rPr>
          <w:rFonts w:hint="eastAsia" w:ascii="仿宋_GB2312" w:eastAsia="仿宋_GB2312"/>
          <w:sz w:val="28"/>
          <w:szCs w:val="28"/>
        </w:rPr>
        <w:t xml:space="preserve">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20</w:t>
      </w:r>
      <w:r>
        <w:rPr>
          <w:rFonts w:hint="eastAsia" w:ascii="仿宋_GB2312" w:eastAsia="仿宋_GB2312"/>
          <w:sz w:val="28"/>
          <w:szCs w:val="28"/>
          <w:lang w:val="en-US" w:eastAsia="zh-CN"/>
        </w:rPr>
        <w:t>22</w:t>
      </w:r>
      <w:r>
        <w:rPr>
          <w:rFonts w:hint="eastAsia" w:ascii="仿宋_GB2312" w:eastAsia="仿宋_GB2312"/>
          <w:sz w:val="28"/>
          <w:szCs w:val="28"/>
        </w:rPr>
        <w:t>年</w:t>
      </w:r>
      <w:r>
        <w:rPr>
          <w:rFonts w:hint="eastAsia" w:ascii="仿宋_GB2312" w:eastAsia="仿宋_GB2312"/>
          <w:sz w:val="28"/>
          <w:szCs w:val="28"/>
          <w:lang w:val="en-US" w:eastAsia="zh-CN"/>
        </w:rPr>
        <w:t>5</w:t>
      </w:r>
      <w:r>
        <w:rPr>
          <w:rFonts w:hint="eastAsia" w:ascii="仿宋_GB2312" w:eastAsia="仿宋_GB2312"/>
          <w:sz w:val="28"/>
          <w:szCs w:val="28"/>
        </w:rPr>
        <w:t>月</w:t>
      </w:r>
      <w:r>
        <w:rPr>
          <w:rFonts w:hint="eastAsia" w:ascii="仿宋_GB2312" w:eastAsia="仿宋_GB2312"/>
          <w:sz w:val="28"/>
          <w:szCs w:val="28"/>
          <w:lang w:val="en-US" w:eastAsia="zh-CN"/>
        </w:rPr>
        <w:t>26</w:t>
      </w:r>
      <w:r>
        <w:rPr>
          <w:rFonts w:hint="eastAsia" w:ascii="仿宋_GB2312" w:eastAsia="仿宋_GB2312"/>
          <w:sz w:val="28"/>
          <w:szCs w:val="28"/>
        </w:rPr>
        <w:t>日印</w:t>
      </w:r>
    </w:p>
    <w:p>
      <w:pPr>
        <w:rPr>
          <w:rFonts w:hint="eastAsia"/>
        </w:rPr>
        <w:sectPr>
          <w:headerReference r:id="rId3" w:type="default"/>
          <w:footerReference r:id="rId4" w:type="default"/>
          <w:pgSz w:w="11906" w:h="16838"/>
          <w:pgMar w:top="1531" w:right="1531" w:bottom="1531" w:left="1531" w:header="851" w:footer="1417" w:gutter="0"/>
          <w:cols w:space="720" w:num="1"/>
          <w:docGrid w:type="linesAndChars" w:linePitch="312" w:charSpace="0"/>
        </w:sectPr>
      </w:pPr>
    </w:p>
    <w:p>
      <w:pPr>
        <w:pBdr>
          <w:top w:val="none" w:color="auto" w:sz="0" w:space="0"/>
          <w:left w:val="none" w:color="auto" w:sz="0" w:space="0"/>
          <w:bottom w:val="none" w:color="auto" w:sz="0" w:space="0"/>
          <w:right w:val="none" w:color="auto" w:sz="0" w:space="0"/>
        </w:pBdr>
        <w:spacing w:line="560" w:lineRule="exact"/>
        <w:ind w:left="0" w:leftChars="0" w:firstLine="0" w:firstLineChars="0"/>
        <w:jc w:val="left"/>
        <w:textAlignment w:val="baseline"/>
        <w:rPr>
          <w:rFonts w:hint="eastAsia" w:ascii="黑体" w:hAnsi="黑体" w:eastAsia="黑体" w:cs="黑体"/>
          <w:vanish w:val="0"/>
          <w:kern w:val="2"/>
          <w:sz w:val="32"/>
          <w:szCs w:val="32"/>
          <w:vertAlign w:val="baseline"/>
        </w:rPr>
      </w:pPr>
      <w:r>
        <w:rPr>
          <w:rFonts w:hint="eastAsia" w:ascii="黑体" w:hAnsi="黑体" w:eastAsia="黑体" w:cs="黑体"/>
          <w:vanish w:val="0"/>
          <w:kern w:val="2"/>
          <w:sz w:val="32"/>
          <w:szCs w:val="32"/>
          <w:vertAlign w:val="baseline"/>
        </w:rPr>
        <w:t>附</w:t>
      </w:r>
      <w:r>
        <w:rPr>
          <w:rFonts w:hint="eastAsia" w:ascii="黑体" w:hAnsi="黑体" w:eastAsia="黑体" w:cs="黑体"/>
          <w:vanish w:val="0"/>
          <w:kern w:val="2"/>
          <w:sz w:val="32"/>
          <w:szCs w:val="32"/>
          <w:vertAlign w:val="baseline"/>
          <w:lang w:val="en-US" w:eastAsia="zh-CN"/>
        </w:rPr>
        <w:t xml:space="preserve"> </w:t>
      </w:r>
      <w:r>
        <w:rPr>
          <w:rFonts w:hint="eastAsia" w:ascii="黑体" w:hAnsi="黑体" w:eastAsia="黑体" w:cs="黑体"/>
          <w:vanish w:val="0"/>
          <w:kern w:val="2"/>
          <w:sz w:val="32"/>
          <w:szCs w:val="32"/>
          <w:vertAlign w:val="baseline"/>
        </w:rPr>
        <w:t>件</w:t>
      </w:r>
    </w:p>
    <w:p>
      <w:pPr>
        <w:pBdr>
          <w:top w:val="none" w:color="auto" w:sz="0" w:space="0"/>
          <w:left w:val="none" w:color="auto" w:sz="0" w:space="0"/>
          <w:bottom w:val="none" w:color="auto" w:sz="0" w:space="0"/>
          <w:right w:val="none" w:color="auto" w:sz="0" w:space="0"/>
        </w:pBdr>
        <w:spacing w:line="560" w:lineRule="exact"/>
        <w:jc w:val="center"/>
        <w:textAlignment w:val="baseline"/>
        <w:rPr>
          <w:rFonts w:hint="eastAsia" w:ascii="方正小标宋简体" w:hAnsi="方正小标宋简体" w:eastAsia="方正小标宋简体" w:cs="方正小标宋简体"/>
          <w:vanish w:val="0"/>
          <w:kern w:val="2"/>
          <w:sz w:val="36"/>
          <w:szCs w:val="36"/>
          <w:vertAlign w:val="baseline"/>
        </w:rPr>
      </w:pPr>
      <w:r>
        <w:rPr>
          <w:rFonts w:hint="eastAsia" w:ascii="方正小标宋简体" w:hAnsi="方正小标宋简体" w:eastAsia="方正小标宋简体" w:cs="方正小标宋简体"/>
          <w:vanish w:val="0"/>
          <w:kern w:val="2"/>
          <w:sz w:val="36"/>
          <w:szCs w:val="36"/>
          <w:vertAlign w:val="baseline"/>
        </w:rPr>
        <w:t>学习贯彻习近平总书记关于安全生产重要论述专题巩固提升阶段“三个清单”</w:t>
      </w:r>
    </w:p>
    <w:tbl>
      <w:tblPr>
        <w:tblStyle w:val="17"/>
        <w:tblW w:w="1480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959"/>
        <w:gridCol w:w="2925"/>
        <w:gridCol w:w="7185"/>
        <w:gridCol w:w="1929"/>
        <w:gridCol w:w="180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3" w:hRule="atLeast"/>
          <w:jc w:val="center"/>
          <w:hidden/>
        </w:trPr>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560" w:lineRule="exact"/>
              <w:ind w:firstLine="0"/>
              <w:jc w:val="center"/>
              <w:textAlignment w:val="baseline"/>
              <w:rPr>
                <w:rFonts w:hint="eastAsia" w:ascii="仿宋" w:eastAsia="仿宋" w:cs="楷体_GB2312"/>
                <w:vanish w:val="0"/>
                <w:kern w:val="2"/>
                <w:sz w:val="32"/>
                <w:szCs w:val="32"/>
                <w:vertAlign w:val="baseline"/>
              </w:rPr>
            </w:pPr>
            <w:r>
              <w:rPr>
                <w:rFonts w:hint="eastAsia" w:ascii="仿宋" w:eastAsia="仿宋" w:cs="楷体_GB2312"/>
                <w:vanish w:val="0"/>
                <w:kern w:val="2"/>
                <w:sz w:val="32"/>
                <w:szCs w:val="32"/>
                <w:vertAlign w:val="baseline"/>
              </w:rPr>
              <w:t>序号</w:t>
            </w:r>
          </w:p>
        </w:tc>
        <w:tc>
          <w:tcPr>
            <w:tcW w:w="292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560" w:lineRule="exact"/>
              <w:ind w:left="0" w:leftChars="0" w:firstLine="0" w:firstLineChars="0"/>
              <w:jc w:val="center"/>
              <w:textAlignment w:val="baseline"/>
              <w:rPr>
                <w:rFonts w:hint="eastAsia" w:ascii="黑体" w:eastAsia="黑体" w:cs="Times New Roman"/>
                <w:vanish w:val="0"/>
                <w:kern w:val="2"/>
                <w:sz w:val="32"/>
                <w:szCs w:val="32"/>
                <w:vertAlign w:val="baseline"/>
              </w:rPr>
            </w:pPr>
            <w:r>
              <w:rPr>
                <w:rFonts w:hint="eastAsia" w:ascii="黑体" w:eastAsia="黑体" w:cs="Times New Roman"/>
                <w:vanish w:val="0"/>
                <w:kern w:val="2"/>
                <w:sz w:val="32"/>
                <w:szCs w:val="32"/>
                <w:vertAlign w:val="baseline"/>
              </w:rPr>
              <w:t>问题清单</w:t>
            </w:r>
          </w:p>
        </w:tc>
        <w:tc>
          <w:tcPr>
            <w:tcW w:w="718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560" w:lineRule="exact"/>
              <w:ind w:left="0" w:leftChars="0" w:firstLine="0" w:firstLineChars="0"/>
              <w:jc w:val="center"/>
              <w:textAlignment w:val="baseline"/>
              <w:rPr>
                <w:rFonts w:hint="eastAsia" w:ascii="黑体" w:eastAsia="黑体" w:cs="Times New Roman"/>
                <w:vanish w:val="0"/>
                <w:kern w:val="2"/>
                <w:sz w:val="32"/>
                <w:szCs w:val="32"/>
                <w:vertAlign w:val="baseline"/>
              </w:rPr>
            </w:pPr>
            <w:r>
              <w:rPr>
                <w:rFonts w:hint="eastAsia" w:ascii="黑体" w:eastAsia="黑体" w:cs="Times New Roman"/>
                <w:vanish w:val="0"/>
                <w:kern w:val="2"/>
                <w:sz w:val="32"/>
                <w:szCs w:val="32"/>
                <w:vertAlign w:val="baseline"/>
              </w:rPr>
              <w:t>任务清单</w:t>
            </w:r>
          </w:p>
        </w:tc>
        <w:tc>
          <w:tcPr>
            <w:tcW w:w="1929"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560" w:lineRule="exact"/>
              <w:ind w:left="0" w:leftChars="0" w:firstLine="0" w:firstLineChars="0"/>
              <w:jc w:val="center"/>
              <w:textAlignment w:val="baseline"/>
              <w:rPr>
                <w:rFonts w:hint="eastAsia" w:ascii="黑体" w:eastAsia="黑体" w:cs="Times New Roman"/>
                <w:vanish w:val="0"/>
                <w:kern w:val="2"/>
                <w:sz w:val="24"/>
                <w:szCs w:val="24"/>
                <w:vertAlign w:val="baseline"/>
              </w:rPr>
            </w:pPr>
            <w:r>
              <w:rPr>
                <w:rFonts w:hint="eastAsia" w:ascii="黑体" w:eastAsia="黑体" w:cs="Times New Roman"/>
                <w:vanish w:val="0"/>
                <w:kern w:val="2"/>
                <w:sz w:val="32"/>
                <w:szCs w:val="32"/>
                <w:vertAlign w:val="baseline"/>
              </w:rPr>
              <w:t>责任单位</w:t>
            </w:r>
          </w:p>
        </w:tc>
        <w:tc>
          <w:tcPr>
            <w:tcW w:w="1807"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560" w:lineRule="exact"/>
              <w:ind w:left="0" w:leftChars="0" w:firstLine="0" w:firstLineChars="0"/>
              <w:jc w:val="center"/>
              <w:textAlignment w:val="baseline"/>
              <w:rPr>
                <w:rFonts w:hint="eastAsia" w:ascii="黑体" w:eastAsia="黑体" w:cs="Times New Roman"/>
                <w:vanish w:val="0"/>
                <w:kern w:val="2"/>
                <w:sz w:val="32"/>
                <w:szCs w:val="32"/>
                <w:vertAlign w:val="baseline"/>
              </w:rPr>
            </w:pPr>
            <w:r>
              <w:rPr>
                <w:rFonts w:hint="eastAsia" w:ascii="黑体" w:eastAsia="黑体" w:cs="Times New Roman"/>
                <w:vanish w:val="0"/>
                <w:kern w:val="2"/>
                <w:sz w:val="32"/>
                <w:szCs w:val="32"/>
                <w:vertAlign w:val="baseline"/>
              </w:rPr>
              <w:t>完成时限</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560" w:hRule="atLeast"/>
          <w:jc w:val="center"/>
          <w:hidden/>
        </w:trPr>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pStyle w:val="16"/>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560" w:firstLineChars="200"/>
              <w:jc w:val="center"/>
              <w:rPr>
                <w:rFonts w:ascii="Times New Roman" w:hAnsi="Times New Roman" w:eastAsia="方正小标宋_GBK" w:cs="Times New Roman"/>
                <w:vanish w:val="0"/>
                <w:kern w:val="44"/>
                <w:sz w:val="28"/>
                <w:szCs w:val="28"/>
              </w:rPr>
            </w:pPr>
            <w:r>
              <w:rPr>
                <w:rFonts w:ascii="Times New Roman" w:hAnsi="Times New Roman" w:eastAsia="方正小标宋_GBK" w:cs="Times New Roman"/>
                <w:vanish w:val="0"/>
                <w:kern w:val="44"/>
                <w:sz w:val="28"/>
                <w:szCs w:val="28"/>
              </w:rPr>
              <w:t>1</w:t>
            </w:r>
          </w:p>
        </w:tc>
        <w:tc>
          <w:tcPr>
            <w:tcW w:w="292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黑体" w:eastAsia="黑体" w:cs="Times New Roman"/>
                <w:vanish w:val="0"/>
                <w:kern w:val="2"/>
                <w:sz w:val="28"/>
                <w:szCs w:val="28"/>
                <w:vertAlign w:val="baseline"/>
              </w:rPr>
            </w:pPr>
            <w:r>
              <w:rPr>
                <w:rFonts w:hint="eastAsia" w:ascii="仿宋_GB2312" w:eastAsia="仿宋_GB2312" w:cs="Times New Roman"/>
                <w:vanish w:val="0"/>
                <w:kern w:val="2"/>
                <w:sz w:val="28"/>
                <w:szCs w:val="28"/>
                <w:vertAlign w:val="baseline"/>
              </w:rPr>
              <w:t>党工委理论学习未形成长效机制，跟进学、持续学、研讨学、转化学力度需加强。</w:t>
            </w:r>
          </w:p>
        </w:tc>
        <w:tc>
          <w:tcPr>
            <w:tcW w:w="718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1.将习近平总书记关于安全生产重要论述学习纳入党工委“第一议题”，跟进学习最新论述，理论中心组每年至少安排一次习近平总书记关于安全生产重要论述集中学习，并开展研讨交流。</w:t>
            </w:r>
          </w:p>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2.深入学习贯彻党的二十大关于安全生产的重要部署和习近平总书记关于安全生产最新指示要求。</w:t>
            </w:r>
          </w:p>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Calibri" w:hAnsi="Calibri" w:eastAsia="宋体" w:cs="Times New Roman"/>
                <w:vanish w:val="0"/>
                <w:kern w:val="2"/>
                <w:sz w:val="21"/>
                <w:szCs w:val="21"/>
                <w:vertAlign w:val="baseline"/>
              </w:rPr>
            </w:pPr>
            <w:r>
              <w:rPr>
                <w:rFonts w:hint="eastAsia" w:ascii="仿宋_GB2312" w:eastAsia="仿宋_GB2312" w:cs="Times New Roman"/>
                <w:vanish w:val="0"/>
                <w:kern w:val="2"/>
                <w:sz w:val="28"/>
                <w:szCs w:val="28"/>
                <w:vertAlign w:val="baseline"/>
              </w:rPr>
              <w:t>3.总结专项整治三年行动经验，印发《加强学习宣传贯彻习近平总书记关于安全生产重要论述的通知》，固化活动成果，形成学习长效机制。</w:t>
            </w:r>
          </w:p>
        </w:tc>
        <w:tc>
          <w:tcPr>
            <w:tcW w:w="1929"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安委会成员单位</w:t>
            </w:r>
          </w:p>
        </w:tc>
        <w:tc>
          <w:tcPr>
            <w:tcW w:w="1807"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长期坚持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40" w:hRule="atLeast"/>
          <w:jc w:val="center"/>
          <w:hidden/>
        </w:trPr>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textAlignment w:val="baseline"/>
              <w:rPr>
                <w:rFonts w:hint="eastAsia" w:ascii="黑体" w:eastAsia="黑体" w:cs="Times New Roman"/>
                <w:vanish w:val="0"/>
                <w:kern w:val="2"/>
                <w:sz w:val="28"/>
                <w:szCs w:val="28"/>
                <w:vertAlign w:val="baseline"/>
              </w:rPr>
            </w:pPr>
            <w:r>
              <w:rPr>
                <w:rFonts w:hint="eastAsia" w:ascii="黑体" w:eastAsia="黑体" w:cs="Times New Roman"/>
                <w:vanish w:val="0"/>
                <w:kern w:val="2"/>
                <w:sz w:val="28"/>
                <w:szCs w:val="28"/>
                <w:vertAlign w:val="baseline"/>
              </w:rPr>
              <w:t>2</w:t>
            </w:r>
          </w:p>
        </w:tc>
        <w:tc>
          <w:tcPr>
            <w:tcW w:w="292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黑体" w:eastAsia="黑体" w:cs="Times New Roman"/>
                <w:vanish w:val="0"/>
                <w:kern w:val="2"/>
                <w:sz w:val="28"/>
                <w:szCs w:val="28"/>
                <w:vertAlign w:val="baseline"/>
              </w:rPr>
            </w:pPr>
            <w:r>
              <w:rPr>
                <w:rFonts w:hint="eastAsia" w:ascii="仿宋_GB2312" w:eastAsia="仿宋_GB2312" w:cs="Times New Roman"/>
                <w:vanish w:val="0"/>
                <w:kern w:val="2"/>
                <w:sz w:val="28"/>
                <w:szCs w:val="28"/>
                <w:vertAlign w:val="baseline"/>
              </w:rPr>
              <w:t>重要论述宣传机制有待加强，活动常态化开展落实不到位。</w:t>
            </w:r>
          </w:p>
        </w:tc>
        <w:tc>
          <w:tcPr>
            <w:tcW w:w="718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黑体" w:eastAsia="黑体" w:cs="Times New Roman"/>
                <w:vanish w:val="0"/>
                <w:kern w:val="2"/>
                <w:sz w:val="28"/>
                <w:szCs w:val="28"/>
                <w:vertAlign w:val="baseline"/>
              </w:rPr>
            </w:pPr>
            <w:r>
              <w:rPr>
                <w:rFonts w:hint="eastAsia" w:ascii="仿宋_GB2312" w:eastAsia="仿宋_GB2312" w:cs="Times New Roman"/>
                <w:vanish w:val="0"/>
                <w:kern w:val="2"/>
                <w:sz w:val="28"/>
                <w:szCs w:val="28"/>
                <w:vertAlign w:val="baseline"/>
              </w:rPr>
              <w:t>每年组织一次面向党员干部的主题宣讲,组织各企事业单位开展专题讲座、视频学习、网上理论课活动。</w:t>
            </w:r>
          </w:p>
        </w:tc>
        <w:tc>
          <w:tcPr>
            <w:tcW w:w="1929"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安委会办公室</w:t>
            </w:r>
          </w:p>
        </w:tc>
        <w:tc>
          <w:tcPr>
            <w:tcW w:w="1807"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长期坚持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55" w:hRule="atLeast"/>
          <w:jc w:val="center"/>
          <w:hidden/>
        </w:trPr>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textAlignment w:val="baseline"/>
              <w:rPr>
                <w:rFonts w:hint="eastAsia" w:ascii="黑体" w:eastAsia="黑体" w:cs="Times New Roman"/>
                <w:vanish w:val="0"/>
                <w:kern w:val="2"/>
                <w:sz w:val="28"/>
                <w:szCs w:val="28"/>
                <w:vertAlign w:val="baseline"/>
              </w:rPr>
            </w:pPr>
            <w:r>
              <w:rPr>
                <w:rFonts w:hint="eastAsia" w:ascii="黑体" w:eastAsia="黑体" w:cs="Times New Roman"/>
                <w:vanish w:val="0"/>
                <w:kern w:val="2"/>
                <w:sz w:val="28"/>
                <w:szCs w:val="28"/>
                <w:vertAlign w:val="baseline"/>
              </w:rPr>
              <w:t>3</w:t>
            </w:r>
          </w:p>
        </w:tc>
        <w:tc>
          <w:tcPr>
            <w:tcW w:w="292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黑体" w:eastAsia="黑体" w:cs="Times New Roman"/>
                <w:vanish w:val="0"/>
                <w:kern w:val="2"/>
                <w:sz w:val="28"/>
                <w:szCs w:val="28"/>
                <w:vertAlign w:val="baseline"/>
              </w:rPr>
            </w:pPr>
            <w:r>
              <w:rPr>
                <w:rFonts w:hint="eastAsia" w:ascii="仿宋_GB2312" w:eastAsia="仿宋_GB2312" w:cs="Times New Roman"/>
                <w:vanish w:val="0"/>
                <w:kern w:val="2"/>
                <w:sz w:val="28"/>
                <w:szCs w:val="28"/>
                <w:vertAlign w:val="baseline"/>
              </w:rPr>
              <w:t>对新任职党员干部理论和业务培训没有及时跟上</w:t>
            </w:r>
          </w:p>
        </w:tc>
        <w:tc>
          <w:tcPr>
            <w:tcW w:w="718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1.重点对象是新任职干部和安全生产分管同志，集中学习贯彻习近平总书记关于应急管理和安全生产的重要论述及相关业务知识。</w:t>
            </w:r>
          </w:p>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ascii="Calibri" w:hAnsi="Calibri" w:eastAsia="宋体" w:cs="Times New Roman"/>
                <w:vanish w:val="0"/>
                <w:kern w:val="2"/>
                <w:sz w:val="21"/>
                <w:szCs w:val="21"/>
                <w:vertAlign w:val="baseline"/>
              </w:rPr>
            </w:pPr>
            <w:r>
              <w:rPr>
                <w:rFonts w:hint="eastAsia" w:ascii="仿宋_GB2312" w:eastAsia="仿宋_GB2312" w:cs="Times New Roman"/>
                <w:vanish w:val="0"/>
                <w:kern w:val="2"/>
                <w:sz w:val="28"/>
                <w:szCs w:val="28"/>
                <w:vertAlign w:val="baseline"/>
              </w:rPr>
              <w:t>2.组织集中学习观看《生命重于泰山--学习习近平总书记关于安全生产重要论述》电视专题片。</w:t>
            </w:r>
          </w:p>
        </w:tc>
        <w:tc>
          <w:tcPr>
            <w:tcW w:w="1929"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安委会办公室</w:t>
            </w:r>
          </w:p>
        </w:tc>
        <w:tc>
          <w:tcPr>
            <w:tcW w:w="1807"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长期坚持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120" w:hRule="atLeast"/>
          <w:jc w:val="center"/>
          <w:hidden/>
        </w:trPr>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textAlignment w:val="baseline"/>
              <w:rPr>
                <w:rFonts w:hint="eastAsia" w:ascii="仿宋" w:eastAsia="仿宋" w:cs="楷体_GB2312"/>
                <w:vanish w:val="0"/>
                <w:kern w:val="2"/>
                <w:sz w:val="28"/>
                <w:szCs w:val="28"/>
                <w:vertAlign w:val="baseline"/>
              </w:rPr>
            </w:pPr>
            <w:r>
              <w:rPr>
                <w:rFonts w:hint="eastAsia" w:ascii="仿宋" w:eastAsia="仿宋" w:cs="楷体_GB2312"/>
                <w:vanish w:val="0"/>
                <w:kern w:val="2"/>
                <w:sz w:val="28"/>
                <w:szCs w:val="28"/>
                <w:vertAlign w:val="baseline"/>
              </w:rPr>
              <w:t>4</w:t>
            </w:r>
          </w:p>
        </w:tc>
        <w:tc>
          <w:tcPr>
            <w:tcW w:w="292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黑体" w:eastAsia="黑体" w:cs="Times New Roman"/>
                <w:vanish w:val="0"/>
                <w:kern w:val="2"/>
                <w:sz w:val="28"/>
                <w:szCs w:val="28"/>
                <w:vertAlign w:val="baseline"/>
              </w:rPr>
            </w:pPr>
            <w:r>
              <w:rPr>
                <w:rFonts w:hint="eastAsia" w:ascii="仿宋_GB2312" w:eastAsia="仿宋_GB2312" w:cs="Times New Roman"/>
                <w:vanish w:val="0"/>
                <w:kern w:val="2"/>
                <w:sz w:val="28"/>
                <w:szCs w:val="28"/>
                <w:vertAlign w:val="baseline"/>
              </w:rPr>
              <w:t>一些领导干部和企业负责人安全发展理念不牢，安全责任落实不到位。</w:t>
            </w:r>
          </w:p>
        </w:tc>
        <w:tc>
          <w:tcPr>
            <w:tcW w:w="718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仿宋" w:eastAsia="仿宋" w:cs="Times New Roman"/>
                <w:vanish w:val="0"/>
                <w:kern w:val="2"/>
                <w:sz w:val="28"/>
                <w:szCs w:val="28"/>
                <w:vertAlign w:val="baseline"/>
              </w:rPr>
            </w:pPr>
            <w:r>
              <w:rPr>
                <w:rFonts w:hint="eastAsia" w:ascii="仿宋_GB2312" w:eastAsia="仿宋_GB2312" w:cs="Times New Roman"/>
                <w:vanish w:val="0"/>
                <w:kern w:val="2"/>
                <w:sz w:val="28"/>
                <w:szCs w:val="28"/>
                <w:vertAlign w:val="baseline"/>
              </w:rPr>
              <w:t>严格落实示范区党工委管委会《贯彻落实最严格安全生产决定的意见》《济源示范区安全生产职责清单》等文件制度。健全完善安全生产巡查、约谈、考核奖励等制度，强化安全生产责任落实。</w:t>
            </w:r>
          </w:p>
        </w:tc>
        <w:tc>
          <w:tcPr>
            <w:tcW w:w="1929"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安委会办公室</w:t>
            </w:r>
          </w:p>
        </w:tc>
        <w:tc>
          <w:tcPr>
            <w:tcW w:w="1807"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长期坚持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40" w:hRule="atLeast"/>
          <w:jc w:val="center"/>
          <w:hidden/>
        </w:trPr>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textAlignment w:val="baseline"/>
              <w:rPr>
                <w:rFonts w:hint="eastAsia" w:ascii="仿宋" w:eastAsia="仿宋" w:cs="楷体_GB2312"/>
                <w:vanish w:val="0"/>
                <w:kern w:val="2"/>
                <w:sz w:val="28"/>
                <w:szCs w:val="28"/>
                <w:vertAlign w:val="baseline"/>
              </w:rPr>
            </w:pPr>
            <w:r>
              <w:rPr>
                <w:rFonts w:hint="eastAsia" w:ascii="仿宋" w:eastAsia="仿宋" w:cs="楷体_GB2312"/>
                <w:vanish w:val="0"/>
                <w:kern w:val="2"/>
                <w:sz w:val="28"/>
                <w:szCs w:val="28"/>
                <w:vertAlign w:val="baseline"/>
              </w:rPr>
              <w:t>5</w:t>
            </w:r>
          </w:p>
        </w:tc>
        <w:tc>
          <w:tcPr>
            <w:tcW w:w="292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黑体" w:eastAsia="黑体" w:cs="Times New Roman"/>
                <w:vanish w:val="0"/>
                <w:kern w:val="2"/>
                <w:sz w:val="28"/>
                <w:szCs w:val="28"/>
                <w:vertAlign w:val="baseline"/>
              </w:rPr>
            </w:pPr>
            <w:r>
              <w:rPr>
                <w:rFonts w:hint="eastAsia" w:ascii="仿宋_GB2312" w:eastAsia="仿宋_GB2312" w:cs="Times New Roman"/>
                <w:vanish w:val="0"/>
                <w:kern w:val="2"/>
                <w:sz w:val="28"/>
                <w:szCs w:val="28"/>
                <w:vertAlign w:val="baseline"/>
              </w:rPr>
              <w:t>安全宣传“五进”工作机制需要进一步完善，应急安全宣传合力需要加强。</w:t>
            </w:r>
          </w:p>
        </w:tc>
        <w:tc>
          <w:tcPr>
            <w:tcW w:w="718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仿宋" w:eastAsia="仿宋" w:cs="Times New Roman"/>
                <w:vanish w:val="0"/>
                <w:kern w:val="2"/>
                <w:sz w:val="28"/>
                <w:szCs w:val="28"/>
                <w:vertAlign w:val="baseline"/>
              </w:rPr>
            </w:pPr>
            <w:r>
              <w:rPr>
                <w:rFonts w:hint="eastAsia" w:ascii="仿宋_GB2312" w:eastAsia="仿宋_GB2312" w:cs="Times New Roman"/>
                <w:vanish w:val="0"/>
                <w:kern w:val="2"/>
                <w:sz w:val="28"/>
                <w:szCs w:val="28"/>
                <w:vertAlign w:val="baseline"/>
              </w:rPr>
              <w:t>安委会各成员单位明确“五进”宣传责任，建立合作机制，共同推进安全宣传“五进”工作。</w:t>
            </w:r>
          </w:p>
        </w:tc>
        <w:tc>
          <w:tcPr>
            <w:tcW w:w="1929"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安委会成员单位</w:t>
            </w:r>
          </w:p>
        </w:tc>
        <w:tc>
          <w:tcPr>
            <w:tcW w:w="1807"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2022年底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65" w:hRule="atLeast"/>
          <w:jc w:val="center"/>
          <w:hidden/>
        </w:trPr>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textAlignment w:val="baseline"/>
              <w:rPr>
                <w:rFonts w:hint="eastAsia" w:ascii="仿宋" w:eastAsia="仿宋" w:cs="楷体_GB2312"/>
                <w:vanish w:val="0"/>
                <w:kern w:val="2"/>
                <w:sz w:val="28"/>
                <w:szCs w:val="28"/>
                <w:vertAlign w:val="baseline"/>
              </w:rPr>
            </w:pPr>
            <w:r>
              <w:rPr>
                <w:rFonts w:hint="eastAsia" w:ascii="仿宋" w:eastAsia="仿宋" w:cs="楷体_GB2312"/>
                <w:vanish w:val="0"/>
                <w:kern w:val="2"/>
                <w:sz w:val="28"/>
                <w:szCs w:val="28"/>
                <w:vertAlign w:val="baseline"/>
              </w:rPr>
              <w:t>6</w:t>
            </w:r>
          </w:p>
        </w:tc>
        <w:tc>
          <w:tcPr>
            <w:tcW w:w="292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黑体" w:eastAsia="黑体" w:cs="Times New Roman"/>
                <w:vanish w:val="0"/>
                <w:kern w:val="2"/>
                <w:sz w:val="28"/>
                <w:szCs w:val="28"/>
                <w:vertAlign w:val="baseline"/>
              </w:rPr>
            </w:pPr>
            <w:r>
              <w:rPr>
                <w:rFonts w:hint="eastAsia" w:ascii="仿宋_GB2312" w:eastAsia="仿宋_GB2312" w:cs="Times New Roman"/>
                <w:vanish w:val="0"/>
                <w:kern w:val="2"/>
                <w:sz w:val="28"/>
                <w:szCs w:val="28"/>
                <w:vertAlign w:val="baseline"/>
              </w:rPr>
              <w:t>安全宣传“五进”渠道需进一步拓展，宣传“最后一公里”需进一步畅通。</w:t>
            </w:r>
          </w:p>
        </w:tc>
        <w:tc>
          <w:tcPr>
            <w:tcW w:w="718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仿宋" w:eastAsia="仿宋" w:cs="Times New Roman"/>
                <w:vanish w:val="0"/>
                <w:kern w:val="2"/>
                <w:sz w:val="28"/>
                <w:szCs w:val="28"/>
                <w:vertAlign w:val="baseline"/>
              </w:rPr>
            </w:pPr>
            <w:r>
              <w:rPr>
                <w:rFonts w:hint="eastAsia" w:ascii="仿宋_GB2312" w:eastAsia="仿宋_GB2312" w:cs="Times New Roman"/>
                <w:vanish w:val="0"/>
                <w:kern w:val="2"/>
                <w:sz w:val="28"/>
                <w:szCs w:val="28"/>
                <w:vertAlign w:val="baseline"/>
              </w:rPr>
              <w:t>1.用好“5·12”防灾减灾日、“安全生产月”“11·9消防宣传日”等活动载体，开展集中宣传教育。</w:t>
            </w:r>
            <w:r>
              <w:rPr>
                <w:rFonts w:hint="eastAsia" w:ascii="仿宋_GB2312" w:eastAsia="仿宋_GB2312" w:cs="Times New Roman"/>
                <w:vanish w:val="0"/>
                <w:kern w:val="2"/>
                <w:sz w:val="28"/>
                <w:szCs w:val="28"/>
                <w:vertAlign w:val="baseline"/>
              </w:rPr>
              <w:br w:type="textWrapping"/>
            </w:r>
            <w:r>
              <w:rPr>
                <w:rFonts w:hint="eastAsia" w:ascii="仿宋_GB2312" w:eastAsia="仿宋_GB2312" w:cs="Times New Roman"/>
                <w:vanish w:val="0"/>
                <w:kern w:val="2"/>
                <w:sz w:val="28"/>
                <w:szCs w:val="28"/>
                <w:vertAlign w:val="baseline"/>
              </w:rPr>
              <w:t>2.建立安全劝导员进农村、进社区安全宣传工作机制，印制《农村(社区)安全劝导员宣传手册》。</w:t>
            </w:r>
            <w:r>
              <w:rPr>
                <w:rFonts w:hint="eastAsia" w:ascii="仿宋_GB2312" w:eastAsia="仿宋_GB2312" w:cs="Times New Roman"/>
                <w:vanish w:val="0"/>
                <w:kern w:val="2"/>
                <w:sz w:val="28"/>
                <w:szCs w:val="28"/>
                <w:vertAlign w:val="baseline"/>
              </w:rPr>
              <w:br w:type="textWrapping"/>
            </w:r>
            <w:r>
              <w:rPr>
                <w:rFonts w:hint="eastAsia" w:ascii="仿宋_GB2312" w:eastAsia="仿宋_GB2312" w:cs="Times New Roman"/>
                <w:vanish w:val="0"/>
                <w:kern w:val="2"/>
                <w:sz w:val="28"/>
                <w:szCs w:val="28"/>
                <w:vertAlign w:val="baseline"/>
              </w:rPr>
              <w:t>3.编制发放《居民安全知识手册》，强化家庭应急安全知识普及。</w:t>
            </w:r>
          </w:p>
        </w:tc>
        <w:tc>
          <w:tcPr>
            <w:tcW w:w="1929"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安委会成员单位</w:t>
            </w:r>
          </w:p>
        </w:tc>
        <w:tc>
          <w:tcPr>
            <w:tcW w:w="1807"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2022年底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120" w:hRule="atLeast"/>
          <w:jc w:val="center"/>
          <w:hidden/>
        </w:trPr>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textAlignment w:val="baseline"/>
              <w:rPr>
                <w:rFonts w:hint="eastAsia" w:ascii="仿宋" w:eastAsia="仿宋" w:cs="楷体_GB2312"/>
                <w:vanish w:val="0"/>
                <w:kern w:val="2"/>
                <w:sz w:val="28"/>
                <w:szCs w:val="28"/>
                <w:vertAlign w:val="baseline"/>
              </w:rPr>
            </w:pPr>
            <w:r>
              <w:rPr>
                <w:rFonts w:hint="eastAsia" w:ascii="仿宋" w:eastAsia="仿宋" w:cs="楷体_GB2312"/>
                <w:vanish w:val="0"/>
                <w:kern w:val="2"/>
                <w:sz w:val="28"/>
                <w:szCs w:val="28"/>
                <w:vertAlign w:val="baseline"/>
              </w:rPr>
              <w:t>7</w:t>
            </w:r>
          </w:p>
        </w:tc>
        <w:tc>
          <w:tcPr>
            <w:tcW w:w="292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黑体" w:eastAsia="黑体" w:cs="Times New Roman"/>
                <w:vanish w:val="0"/>
                <w:kern w:val="2"/>
                <w:sz w:val="28"/>
                <w:szCs w:val="28"/>
                <w:vertAlign w:val="baseline"/>
              </w:rPr>
            </w:pPr>
            <w:r>
              <w:rPr>
                <w:rFonts w:hint="eastAsia" w:ascii="仿宋_GB2312" w:eastAsia="仿宋_GB2312" w:cs="Times New Roman"/>
                <w:vanish w:val="0"/>
                <w:kern w:val="2"/>
                <w:sz w:val="28"/>
                <w:szCs w:val="28"/>
                <w:vertAlign w:val="baseline"/>
              </w:rPr>
              <w:t>一些企业负责人、社会公众安全生产法律意识淡薄，法治宣传需深入持久开展。</w:t>
            </w:r>
          </w:p>
        </w:tc>
        <w:tc>
          <w:tcPr>
            <w:tcW w:w="718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仿宋" w:eastAsia="仿宋" w:cs="Times New Roman"/>
                <w:vanish w:val="0"/>
                <w:kern w:val="2"/>
                <w:sz w:val="28"/>
                <w:szCs w:val="28"/>
                <w:vertAlign w:val="baseline"/>
              </w:rPr>
            </w:pPr>
            <w:r>
              <w:rPr>
                <w:rFonts w:hint="eastAsia" w:ascii="仿宋_GB2312" w:eastAsia="仿宋_GB2312" w:cs="Times New Roman"/>
                <w:vanish w:val="0"/>
                <w:kern w:val="2"/>
                <w:sz w:val="28"/>
                <w:szCs w:val="28"/>
                <w:vertAlign w:val="baseline"/>
              </w:rPr>
              <w:t>加强安全生产法治宣传力度，深入宣传新修订《安全生产法》《中华人民共和国刑法修正案(十一)》等最新法律法规，形成常态化宣传机制。</w:t>
            </w:r>
          </w:p>
        </w:tc>
        <w:tc>
          <w:tcPr>
            <w:tcW w:w="1929"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经济发展办公室</w:t>
            </w:r>
          </w:p>
        </w:tc>
        <w:tc>
          <w:tcPr>
            <w:tcW w:w="1807"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长期坚持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120" w:hRule="atLeast"/>
          <w:jc w:val="center"/>
          <w:hidden/>
        </w:trPr>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textAlignment w:val="baseline"/>
              <w:rPr>
                <w:rFonts w:hint="eastAsia" w:ascii="仿宋" w:eastAsia="仿宋" w:cs="楷体_GB2312"/>
                <w:vanish w:val="0"/>
                <w:kern w:val="2"/>
                <w:sz w:val="28"/>
                <w:szCs w:val="28"/>
                <w:vertAlign w:val="baseline"/>
              </w:rPr>
            </w:pPr>
            <w:r>
              <w:rPr>
                <w:rFonts w:hint="eastAsia" w:ascii="仿宋" w:eastAsia="仿宋" w:cs="楷体_GB2312"/>
                <w:vanish w:val="0"/>
                <w:kern w:val="2"/>
                <w:sz w:val="28"/>
                <w:szCs w:val="28"/>
                <w:vertAlign w:val="baseline"/>
              </w:rPr>
              <w:t>8</w:t>
            </w:r>
          </w:p>
        </w:tc>
        <w:tc>
          <w:tcPr>
            <w:tcW w:w="292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黑体" w:eastAsia="黑体" w:cs="Times New Roman"/>
                <w:vanish w:val="0"/>
                <w:kern w:val="2"/>
                <w:sz w:val="28"/>
                <w:szCs w:val="28"/>
                <w:vertAlign w:val="baseline"/>
              </w:rPr>
            </w:pPr>
            <w:r>
              <w:rPr>
                <w:rFonts w:hint="eastAsia" w:ascii="仿宋_GB2312" w:eastAsia="仿宋_GB2312" w:cs="Times New Roman"/>
                <w:vanish w:val="0"/>
                <w:kern w:val="2"/>
                <w:sz w:val="28"/>
                <w:szCs w:val="28"/>
                <w:vertAlign w:val="baseline"/>
              </w:rPr>
              <w:t>干部群众应急能力和应急避险知识不足、观念意识不强。</w:t>
            </w:r>
          </w:p>
        </w:tc>
        <w:tc>
          <w:tcPr>
            <w:tcW w:w="718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仿宋" w:eastAsia="仿宋" w:cs="Times New Roman"/>
                <w:vanish w:val="0"/>
                <w:kern w:val="2"/>
                <w:sz w:val="28"/>
                <w:szCs w:val="28"/>
                <w:vertAlign w:val="baseline"/>
              </w:rPr>
            </w:pPr>
            <w:r>
              <w:rPr>
                <w:rFonts w:hint="eastAsia" w:ascii="仿宋_GB2312" w:eastAsia="仿宋_GB2312" w:cs="Times New Roman"/>
                <w:vanish w:val="0"/>
                <w:kern w:val="2"/>
                <w:sz w:val="28"/>
                <w:szCs w:val="28"/>
                <w:vertAlign w:val="baseline"/>
              </w:rPr>
              <w:t>开展全民应急素质教育，组织各行业领域、企业(单位)、社区、学校等定期开展应急演练，每年不少于一次。</w:t>
            </w:r>
          </w:p>
        </w:tc>
        <w:tc>
          <w:tcPr>
            <w:tcW w:w="1929"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安委会成员单位</w:t>
            </w:r>
          </w:p>
        </w:tc>
        <w:tc>
          <w:tcPr>
            <w:tcW w:w="1807"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2022年11月</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90" w:hRule="atLeast"/>
          <w:jc w:val="center"/>
          <w:hidden/>
        </w:trPr>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textAlignment w:val="baseline"/>
              <w:rPr>
                <w:rFonts w:hint="eastAsia" w:ascii="仿宋" w:eastAsia="仿宋" w:cs="楷体_GB2312"/>
                <w:vanish w:val="0"/>
                <w:kern w:val="2"/>
                <w:sz w:val="28"/>
                <w:szCs w:val="28"/>
                <w:vertAlign w:val="baseline"/>
              </w:rPr>
            </w:pPr>
            <w:r>
              <w:rPr>
                <w:rFonts w:hint="eastAsia" w:ascii="仿宋" w:eastAsia="仿宋" w:cs="楷体_GB2312"/>
                <w:vanish w:val="0"/>
                <w:kern w:val="2"/>
                <w:sz w:val="28"/>
                <w:szCs w:val="28"/>
                <w:vertAlign w:val="baseline"/>
              </w:rPr>
              <w:t>9</w:t>
            </w:r>
          </w:p>
        </w:tc>
        <w:tc>
          <w:tcPr>
            <w:tcW w:w="292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黑体" w:eastAsia="黑体" w:cs="Times New Roman"/>
                <w:vanish w:val="0"/>
                <w:kern w:val="2"/>
                <w:sz w:val="28"/>
                <w:szCs w:val="28"/>
                <w:vertAlign w:val="baseline"/>
              </w:rPr>
            </w:pPr>
            <w:r>
              <w:rPr>
                <w:rFonts w:hint="eastAsia" w:ascii="仿宋_GB2312" w:eastAsia="仿宋_GB2312" w:cs="Times New Roman"/>
                <w:vanish w:val="0"/>
                <w:kern w:val="2"/>
                <w:sz w:val="28"/>
                <w:szCs w:val="28"/>
                <w:vertAlign w:val="baseline"/>
              </w:rPr>
              <w:t>应急广播体系建设尚未完成。</w:t>
            </w:r>
          </w:p>
        </w:tc>
        <w:tc>
          <w:tcPr>
            <w:tcW w:w="718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仿宋" w:eastAsia="仿宋" w:cs="Times New Roman"/>
                <w:vanish w:val="0"/>
                <w:kern w:val="2"/>
                <w:sz w:val="28"/>
                <w:szCs w:val="28"/>
                <w:vertAlign w:val="baseline"/>
              </w:rPr>
            </w:pPr>
            <w:r>
              <w:rPr>
                <w:rFonts w:hint="eastAsia" w:ascii="仿宋_GB2312" w:eastAsia="仿宋_GB2312" w:cs="Times New Roman"/>
                <w:vanish w:val="0"/>
                <w:kern w:val="2"/>
                <w:sz w:val="28"/>
                <w:szCs w:val="28"/>
                <w:vertAlign w:val="baseline"/>
              </w:rPr>
              <w:t>深入推进街道、居委会、社区应急广播体系建设。</w:t>
            </w:r>
          </w:p>
        </w:tc>
        <w:tc>
          <w:tcPr>
            <w:tcW w:w="1929"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宣传文化旅游中心</w:t>
            </w:r>
          </w:p>
        </w:tc>
        <w:tc>
          <w:tcPr>
            <w:tcW w:w="1807"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2022年底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15" w:hRule="atLeast"/>
          <w:jc w:val="center"/>
          <w:hidden/>
        </w:trPr>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textAlignment w:val="baseline"/>
              <w:rPr>
                <w:rFonts w:hint="eastAsia" w:ascii="仿宋" w:eastAsia="仿宋" w:cs="楷体_GB2312"/>
                <w:vanish w:val="0"/>
                <w:kern w:val="2"/>
                <w:sz w:val="28"/>
                <w:szCs w:val="28"/>
                <w:vertAlign w:val="baseline"/>
              </w:rPr>
            </w:pPr>
            <w:r>
              <w:rPr>
                <w:rFonts w:hint="eastAsia" w:ascii="仿宋" w:eastAsia="仿宋" w:cs="楷体_GB2312"/>
                <w:vanish w:val="0"/>
                <w:kern w:val="2"/>
                <w:sz w:val="28"/>
                <w:szCs w:val="28"/>
                <w:vertAlign w:val="baseline"/>
              </w:rPr>
              <w:t>10</w:t>
            </w:r>
          </w:p>
        </w:tc>
        <w:tc>
          <w:tcPr>
            <w:tcW w:w="292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黑体" w:eastAsia="黑体" w:cs="Times New Roman"/>
                <w:vanish w:val="0"/>
                <w:kern w:val="2"/>
                <w:sz w:val="28"/>
                <w:szCs w:val="28"/>
                <w:vertAlign w:val="baseline"/>
              </w:rPr>
            </w:pPr>
            <w:r>
              <w:rPr>
                <w:rFonts w:hint="eastAsia" w:ascii="仿宋_GB2312" w:eastAsia="仿宋_GB2312" w:cs="Times New Roman"/>
                <w:vanish w:val="0"/>
                <w:kern w:val="2"/>
                <w:sz w:val="28"/>
                <w:szCs w:val="28"/>
                <w:vertAlign w:val="baseline"/>
              </w:rPr>
              <w:t>警示教育未形成常态化机制、开展深度不够，安全隐患曝光力度不够。警示教育作用未充分发挥。</w:t>
            </w:r>
          </w:p>
        </w:tc>
        <w:tc>
          <w:tcPr>
            <w:tcW w:w="718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1.建立安全警示教育制度。明确警示教育目标、责任、内容、范围和考核奖惩措施，每季度各行业企业至少开展一次集中警示教育。</w:t>
            </w:r>
            <w:r>
              <w:rPr>
                <w:rFonts w:hint="eastAsia" w:ascii="仿宋_GB2312" w:eastAsia="仿宋_GB2312" w:cs="Times New Roman"/>
                <w:vanish w:val="0"/>
                <w:kern w:val="2"/>
                <w:sz w:val="28"/>
                <w:szCs w:val="28"/>
                <w:vertAlign w:val="baseline"/>
              </w:rPr>
              <w:tab/>
            </w:r>
            <w:r>
              <w:rPr>
                <w:rFonts w:hint="eastAsia" w:ascii="仿宋_GB2312" w:eastAsia="仿宋_GB2312" w:cs="Times New Roman"/>
                <w:vanish w:val="0"/>
                <w:kern w:val="2"/>
                <w:sz w:val="28"/>
                <w:szCs w:val="28"/>
                <w:vertAlign w:val="baseline"/>
              </w:rPr>
              <w:br w:type="textWrapping"/>
            </w:r>
            <w:r>
              <w:rPr>
                <w:rFonts w:hint="eastAsia" w:ascii="仿宋_GB2312" w:eastAsia="仿宋_GB2312" w:cs="Times New Roman"/>
                <w:vanish w:val="0"/>
                <w:kern w:val="2"/>
                <w:sz w:val="28"/>
                <w:szCs w:val="28"/>
                <w:vertAlign w:val="baseline"/>
              </w:rPr>
              <w:t>2.结合实际印制警示教育资料。</w:t>
            </w:r>
          </w:p>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Calibri" w:hAnsi="Calibri" w:eastAsia="宋体" w:cs="Times New Roman"/>
                <w:vanish w:val="0"/>
                <w:kern w:val="2"/>
                <w:sz w:val="21"/>
                <w:szCs w:val="21"/>
                <w:vertAlign w:val="baseline"/>
              </w:rPr>
            </w:pPr>
            <w:r>
              <w:rPr>
                <w:rFonts w:hint="eastAsia" w:ascii="仿宋_GB2312" w:eastAsia="仿宋_GB2312" w:cs="Times New Roman"/>
                <w:vanish w:val="0"/>
                <w:kern w:val="2"/>
                <w:sz w:val="28"/>
                <w:szCs w:val="28"/>
                <w:vertAlign w:val="baseline"/>
              </w:rPr>
              <w:t>3.设置曝光专栏，确定每月 25日为事故曝光日，每月定期对事故风险隐患进行曝光，增强警示教育作用。</w:t>
            </w:r>
          </w:p>
        </w:tc>
        <w:tc>
          <w:tcPr>
            <w:tcW w:w="1929"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综合行政执法大队</w:t>
            </w:r>
          </w:p>
        </w:tc>
        <w:tc>
          <w:tcPr>
            <w:tcW w:w="1807"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长期坚持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75" w:hRule="atLeast"/>
          <w:jc w:val="center"/>
          <w:hidden/>
        </w:trPr>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textAlignment w:val="baseline"/>
              <w:rPr>
                <w:rFonts w:hint="eastAsia" w:ascii="仿宋" w:eastAsia="仿宋" w:cs="楷体_GB2312"/>
                <w:vanish w:val="0"/>
                <w:kern w:val="2"/>
                <w:sz w:val="32"/>
                <w:szCs w:val="32"/>
                <w:vertAlign w:val="baseline"/>
              </w:rPr>
            </w:pPr>
            <w:r>
              <w:rPr>
                <w:rFonts w:hint="eastAsia" w:ascii="仿宋" w:eastAsia="仿宋" w:cs="楷体_GB2312"/>
                <w:vanish w:val="0"/>
                <w:kern w:val="2"/>
                <w:sz w:val="32"/>
                <w:szCs w:val="32"/>
                <w:vertAlign w:val="baseline"/>
              </w:rPr>
              <w:t>11</w:t>
            </w:r>
          </w:p>
        </w:tc>
        <w:tc>
          <w:tcPr>
            <w:tcW w:w="292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 w:eastAsia="仿宋" w:cs="楷体_GB2312"/>
                <w:vanish w:val="0"/>
                <w:kern w:val="2"/>
                <w:sz w:val="32"/>
                <w:szCs w:val="32"/>
                <w:vertAlign w:val="baseline"/>
              </w:rPr>
            </w:pPr>
            <w:r>
              <w:rPr>
                <w:rFonts w:hint="eastAsia" w:ascii="仿宋_GB2312" w:eastAsia="仿宋_GB2312" w:cs="Times New Roman"/>
                <w:vanish w:val="0"/>
                <w:kern w:val="2"/>
                <w:sz w:val="28"/>
                <w:szCs w:val="28"/>
                <w:vertAlign w:val="baseline"/>
              </w:rPr>
              <w:t>应急管理体系和能力建设基础薄弱，应急救援体系有待完善。</w:t>
            </w:r>
            <w:r>
              <w:rPr>
                <w:rFonts w:hint="eastAsia" w:ascii="仿宋_GB2312" w:eastAsia="仿宋_GB2312" w:cs="Times New Roman"/>
                <w:vanish w:val="0"/>
                <w:kern w:val="2"/>
                <w:sz w:val="28"/>
                <w:szCs w:val="28"/>
                <w:vertAlign w:val="baseline"/>
              </w:rPr>
              <w:tab/>
            </w:r>
          </w:p>
        </w:tc>
        <w:tc>
          <w:tcPr>
            <w:tcW w:w="718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 w:eastAsia="仿宋" w:cs="Times New Roman"/>
                <w:vanish w:val="0"/>
                <w:kern w:val="2"/>
                <w:sz w:val="32"/>
                <w:szCs w:val="32"/>
                <w:vertAlign w:val="baseline"/>
              </w:rPr>
            </w:pPr>
            <w:r>
              <w:rPr>
                <w:rFonts w:hint="eastAsia" w:ascii="仿宋_GB2312" w:eastAsia="仿宋_GB2312" w:cs="Times New Roman"/>
                <w:vanish w:val="0"/>
                <w:kern w:val="2"/>
                <w:sz w:val="28"/>
                <w:szCs w:val="28"/>
                <w:vertAlign w:val="baseline"/>
              </w:rPr>
              <w:t>推进《济源示范区应急管理体系和能力建设三年提升计划(2021-2023)》落实，推动居委会建立“1+3”(安全劝导站和安全劝导员、灾害信息员、民兵应急救援队伍)应急救援体系。</w:t>
            </w:r>
          </w:p>
        </w:tc>
        <w:tc>
          <w:tcPr>
            <w:tcW w:w="1929"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各社区、居委会</w:t>
            </w:r>
          </w:p>
        </w:tc>
        <w:tc>
          <w:tcPr>
            <w:tcW w:w="1807"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2022年底</w:t>
            </w:r>
          </w:p>
        </w:tc>
      </w:tr>
    </w:tbl>
    <w:p>
      <w:pPr>
        <w:pBdr>
          <w:top w:val="none" w:color="auto" w:sz="0" w:space="0"/>
          <w:left w:val="none" w:color="auto" w:sz="0" w:space="0"/>
          <w:bottom w:val="none" w:color="auto" w:sz="0" w:space="0"/>
          <w:right w:val="none" w:color="auto" w:sz="0" w:space="0"/>
        </w:pBdr>
        <w:spacing w:line="560" w:lineRule="exact"/>
        <w:ind w:left="0" w:firstLine="0"/>
        <w:jc w:val="center"/>
        <w:textAlignment w:val="baseline"/>
        <w:rPr>
          <w:rFonts w:hint="eastAsia" w:ascii="方正小标宋简体" w:hAnsi="方正小标宋简体" w:eastAsia="方正小标宋简体" w:cs="方正小标宋简体"/>
          <w:b w:val="0"/>
          <w:bCs w:val="0"/>
          <w:vanish w:val="0"/>
          <w:kern w:val="2"/>
          <w:sz w:val="44"/>
          <w:szCs w:val="44"/>
          <w:vertAlign w:val="baseline"/>
        </w:rPr>
      </w:pPr>
      <w:r>
        <w:rPr>
          <w:rFonts w:hint="eastAsia" w:ascii="方正小标宋简体" w:hAnsi="方正小标宋简体" w:eastAsia="方正小标宋简体" w:cs="方正小标宋简体"/>
          <w:b w:val="0"/>
          <w:bCs w:val="0"/>
          <w:vanish w:val="0"/>
          <w:kern w:val="2"/>
          <w:sz w:val="44"/>
          <w:szCs w:val="44"/>
          <w:vertAlign w:val="baseline"/>
        </w:rPr>
        <w:t>落实企业安全生产主体责任专题三年行动巩固提升阶段“三个清单”</w:t>
      </w:r>
    </w:p>
    <w:p>
      <w:pPr>
        <w:pStyle w:val="4"/>
        <w:rPr>
          <w:rFonts w:ascii="Times New Roman" w:hAnsi="Times New Roman" w:eastAsia="方正小标宋_GBK"/>
          <w:kern w:val="44"/>
          <w:sz w:val="44"/>
          <w:szCs w:val="44"/>
        </w:rPr>
      </w:pPr>
    </w:p>
    <w:tbl>
      <w:tblPr>
        <w:tblStyle w:val="17"/>
        <w:tblW w:w="1518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959"/>
        <w:gridCol w:w="2835"/>
        <w:gridCol w:w="7695"/>
        <w:gridCol w:w="1876"/>
        <w:gridCol w:w="181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8" w:hRule="atLeast"/>
          <w:jc w:val="center"/>
          <w:hidden/>
        </w:trPr>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560" w:lineRule="exact"/>
              <w:ind w:firstLine="0"/>
              <w:jc w:val="both"/>
              <w:textAlignment w:val="baseline"/>
              <w:rPr>
                <w:rFonts w:hint="eastAsia" w:ascii="仿宋" w:eastAsia="仿宋" w:cs="楷体_GB2312"/>
                <w:vanish w:val="0"/>
                <w:kern w:val="2"/>
                <w:sz w:val="32"/>
                <w:szCs w:val="32"/>
                <w:vertAlign w:val="baseline"/>
              </w:rPr>
            </w:pPr>
            <w:r>
              <w:rPr>
                <w:rFonts w:hint="eastAsia" w:ascii="仿宋" w:eastAsia="仿宋" w:cs="楷体_GB2312"/>
                <w:vanish w:val="0"/>
                <w:kern w:val="2"/>
                <w:sz w:val="32"/>
                <w:szCs w:val="32"/>
                <w:vertAlign w:val="baseline"/>
              </w:rPr>
              <w:t>序号</w:t>
            </w:r>
          </w:p>
        </w:tc>
        <w:tc>
          <w:tcPr>
            <w:tcW w:w="283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560" w:lineRule="exact"/>
              <w:ind w:left="0"/>
              <w:jc w:val="center"/>
              <w:textAlignment w:val="baseline"/>
              <w:rPr>
                <w:rFonts w:hint="eastAsia" w:ascii="黑体" w:eastAsia="黑体" w:cs="Times New Roman"/>
                <w:vanish w:val="0"/>
                <w:kern w:val="2"/>
                <w:sz w:val="32"/>
                <w:szCs w:val="32"/>
                <w:vertAlign w:val="baseline"/>
              </w:rPr>
            </w:pPr>
            <w:r>
              <w:rPr>
                <w:rFonts w:hint="eastAsia" w:ascii="黑体" w:eastAsia="黑体" w:cs="Times New Roman"/>
                <w:vanish w:val="0"/>
                <w:kern w:val="2"/>
                <w:sz w:val="32"/>
                <w:szCs w:val="32"/>
                <w:vertAlign w:val="baseline"/>
              </w:rPr>
              <w:t>问题清单</w:t>
            </w:r>
          </w:p>
        </w:tc>
        <w:tc>
          <w:tcPr>
            <w:tcW w:w="769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560" w:lineRule="exact"/>
              <w:ind w:left="0"/>
              <w:jc w:val="center"/>
              <w:textAlignment w:val="baseline"/>
              <w:rPr>
                <w:rFonts w:hint="eastAsia" w:ascii="黑体" w:eastAsia="黑体" w:cs="Times New Roman"/>
                <w:vanish w:val="0"/>
                <w:kern w:val="2"/>
                <w:sz w:val="32"/>
                <w:szCs w:val="32"/>
                <w:vertAlign w:val="baseline"/>
              </w:rPr>
            </w:pPr>
            <w:r>
              <w:rPr>
                <w:rFonts w:hint="eastAsia" w:ascii="黑体" w:eastAsia="黑体" w:cs="Times New Roman"/>
                <w:vanish w:val="0"/>
                <w:kern w:val="2"/>
                <w:sz w:val="32"/>
                <w:szCs w:val="32"/>
                <w:vertAlign w:val="baseline"/>
              </w:rPr>
              <w:t>任务清单</w:t>
            </w:r>
          </w:p>
        </w:tc>
        <w:tc>
          <w:tcPr>
            <w:tcW w:w="1876"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560" w:lineRule="exact"/>
              <w:ind w:left="0" w:leftChars="0" w:firstLine="0" w:firstLineChars="0"/>
              <w:jc w:val="both"/>
              <w:textAlignment w:val="baseline"/>
              <w:rPr>
                <w:rFonts w:hint="eastAsia" w:ascii="黑体" w:eastAsia="黑体" w:cs="Times New Roman"/>
                <w:vanish w:val="0"/>
                <w:kern w:val="2"/>
                <w:sz w:val="24"/>
                <w:szCs w:val="24"/>
                <w:vertAlign w:val="baseline"/>
              </w:rPr>
            </w:pPr>
            <w:r>
              <w:rPr>
                <w:rFonts w:hint="eastAsia" w:ascii="黑体" w:eastAsia="黑体" w:cs="Times New Roman"/>
                <w:vanish w:val="0"/>
                <w:kern w:val="2"/>
                <w:sz w:val="32"/>
                <w:szCs w:val="32"/>
                <w:vertAlign w:val="baseline"/>
              </w:rPr>
              <w:t>责任单位</w:t>
            </w:r>
          </w:p>
        </w:tc>
        <w:tc>
          <w:tcPr>
            <w:tcW w:w="181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560" w:lineRule="exact"/>
              <w:ind w:left="0" w:leftChars="0" w:firstLine="0" w:firstLineChars="0"/>
              <w:jc w:val="both"/>
              <w:textAlignment w:val="baseline"/>
              <w:rPr>
                <w:rFonts w:hint="eastAsia" w:ascii="黑体" w:eastAsia="黑体" w:cs="Times New Roman"/>
                <w:vanish w:val="0"/>
                <w:kern w:val="2"/>
                <w:sz w:val="32"/>
                <w:szCs w:val="32"/>
                <w:vertAlign w:val="baseline"/>
              </w:rPr>
            </w:pPr>
            <w:r>
              <w:rPr>
                <w:rFonts w:hint="eastAsia" w:ascii="黑体" w:eastAsia="黑体" w:cs="Times New Roman"/>
                <w:vanish w:val="0"/>
                <w:kern w:val="2"/>
                <w:sz w:val="32"/>
                <w:szCs w:val="32"/>
                <w:vertAlign w:val="baseline"/>
              </w:rPr>
              <w:t>完成时限</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15" w:hRule="atLeast"/>
          <w:jc w:val="center"/>
          <w:hidden/>
        </w:trPr>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pStyle w:val="16"/>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firstLine="560" w:firstLineChars="200"/>
              <w:jc w:val="both"/>
              <w:rPr>
                <w:rFonts w:ascii="Times New Roman" w:hAnsi="Times New Roman" w:eastAsia="方正小标宋_GBK" w:cs="Times New Roman"/>
                <w:vanish w:val="0"/>
                <w:kern w:val="44"/>
                <w:sz w:val="28"/>
                <w:szCs w:val="28"/>
              </w:rPr>
            </w:pPr>
            <w:r>
              <w:rPr>
                <w:rFonts w:ascii="Times New Roman" w:hAnsi="Times New Roman" w:eastAsia="方正小标宋_GBK" w:cs="Times New Roman"/>
                <w:vanish w:val="0"/>
                <w:kern w:val="44"/>
                <w:sz w:val="28"/>
                <w:szCs w:val="28"/>
              </w:rPr>
              <w:t>1</w:t>
            </w:r>
          </w:p>
        </w:tc>
        <w:tc>
          <w:tcPr>
            <w:tcW w:w="283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黑体" w:eastAsia="黑体" w:cs="Times New Roman"/>
                <w:vanish w:val="0"/>
                <w:kern w:val="2"/>
                <w:sz w:val="28"/>
                <w:szCs w:val="28"/>
                <w:vertAlign w:val="baseline"/>
              </w:rPr>
            </w:pPr>
            <w:r>
              <w:rPr>
                <w:rFonts w:hint="eastAsia" w:ascii="仿宋_GB2312" w:eastAsia="仿宋_GB2312" w:cs="Times New Roman"/>
                <w:vanish w:val="0"/>
                <w:kern w:val="2"/>
                <w:sz w:val="28"/>
                <w:szCs w:val="28"/>
                <w:vertAlign w:val="baseline"/>
              </w:rPr>
              <w:t>企业法定代表人、实际控制人落实安全生产第一责任人法定责任不到位。</w:t>
            </w:r>
          </w:p>
        </w:tc>
        <w:tc>
          <w:tcPr>
            <w:tcW w:w="769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黑体" w:eastAsia="黑体" w:cs="Times New Roman"/>
                <w:vanish w:val="0"/>
                <w:kern w:val="2"/>
                <w:sz w:val="28"/>
                <w:szCs w:val="28"/>
                <w:vertAlign w:val="baseline"/>
              </w:rPr>
            </w:pPr>
            <w:r>
              <w:rPr>
                <w:rFonts w:hint="eastAsia" w:ascii="仿宋_GB2312" w:eastAsia="仿宋_GB2312" w:cs="Times New Roman"/>
                <w:vanish w:val="0"/>
                <w:kern w:val="2"/>
                <w:sz w:val="28"/>
                <w:szCs w:val="28"/>
                <w:vertAlign w:val="baseline"/>
              </w:rPr>
              <w:t>加强日常监管。突出把主要负责人履行职责情况纳入重点检查内容，坚持“逢差必考”，督促掌握“应知应会”，依法履行职责，全面强化主体责任落实。</w:t>
            </w:r>
          </w:p>
        </w:tc>
        <w:tc>
          <w:tcPr>
            <w:tcW w:w="1876"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经济发展办公室</w:t>
            </w:r>
          </w:p>
        </w:tc>
        <w:tc>
          <w:tcPr>
            <w:tcW w:w="181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长期坚持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10" w:hRule="atLeast"/>
          <w:jc w:val="center"/>
          <w:hidden/>
        </w:trPr>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textAlignment w:val="baseline"/>
              <w:rPr>
                <w:rFonts w:hint="eastAsia" w:ascii="黑体" w:eastAsia="黑体" w:cs="Times New Roman"/>
                <w:vanish w:val="0"/>
                <w:kern w:val="2"/>
                <w:sz w:val="28"/>
                <w:szCs w:val="28"/>
                <w:vertAlign w:val="baseline"/>
              </w:rPr>
            </w:pPr>
            <w:r>
              <w:rPr>
                <w:rFonts w:hint="eastAsia" w:ascii="黑体" w:eastAsia="黑体" w:cs="Times New Roman"/>
                <w:vanish w:val="0"/>
                <w:kern w:val="2"/>
                <w:sz w:val="28"/>
                <w:szCs w:val="28"/>
                <w:vertAlign w:val="baseline"/>
              </w:rPr>
              <w:t>2</w:t>
            </w:r>
          </w:p>
        </w:tc>
        <w:tc>
          <w:tcPr>
            <w:tcW w:w="283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黑体" w:eastAsia="黑体" w:cs="Times New Roman"/>
                <w:vanish w:val="0"/>
                <w:kern w:val="2"/>
                <w:sz w:val="28"/>
                <w:szCs w:val="28"/>
                <w:vertAlign w:val="baseline"/>
              </w:rPr>
            </w:pPr>
            <w:r>
              <w:rPr>
                <w:rFonts w:hint="eastAsia" w:ascii="仿宋_GB2312" w:eastAsia="仿宋_GB2312" w:cs="Times New Roman"/>
                <w:vanish w:val="0"/>
                <w:kern w:val="2"/>
                <w:sz w:val="28"/>
                <w:szCs w:val="28"/>
                <w:vertAlign w:val="baseline"/>
              </w:rPr>
              <w:t>全员安全生产责任制落实不到位。</w:t>
            </w:r>
          </w:p>
        </w:tc>
        <w:tc>
          <w:tcPr>
            <w:tcW w:w="769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黑体" w:eastAsia="黑体" w:cs="Times New Roman"/>
                <w:vanish w:val="0"/>
                <w:kern w:val="2"/>
                <w:sz w:val="28"/>
                <w:szCs w:val="28"/>
                <w:vertAlign w:val="baseline"/>
              </w:rPr>
            </w:pPr>
            <w:r>
              <w:rPr>
                <w:rFonts w:hint="eastAsia" w:ascii="仿宋_GB2312" w:eastAsia="仿宋_GB2312" w:cs="Times New Roman"/>
                <w:vanish w:val="0"/>
                <w:kern w:val="2"/>
                <w:sz w:val="28"/>
                <w:szCs w:val="28"/>
                <w:vertAlign w:val="baseline"/>
              </w:rPr>
              <w:t>深化事故警示教育。对历年发生过事故的企业重点进行检查，对事故发生企业开展安全生产事故警示教育，强化企业各级各岗位人员责任意识，深刻汲取事故教训，增强履职尽责主动性。</w:t>
            </w:r>
          </w:p>
        </w:tc>
        <w:tc>
          <w:tcPr>
            <w:tcW w:w="1876"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经济发展办公室</w:t>
            </w:r>
          </w:p>
        </w:tc>
        <w:tc>
          <w:tcPr>
            <w:tcW w:w="181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长期坚持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5" w:hRule="atLeast"/>
          <w:jc w:val="center"/>
          <w:hidden/>
        </w:trPr>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textAlignment w:val="baseline"/>
              <w:rPr>
                <w:rFonts w:hint="eastAsia" w:ascii="黑体" w:eastAsia="黑体" w:cs="Times New Roman"/>
                <w:vanish w:val="0"/>
                <w:kern w:val="2"/>
                <w:sz w:val="28"/>
                <w:szCs w:val="28"/>
                <w:vertAlign w:val="baseline"/>
              </w:rPr>
            </w:pPr>
            <w:r>
              <w:rPr>
                <w:rFonts w:hint="eastAsia" w:ascii="黑体" w:eastAsia="黑体" w:cs="Times New Roman"/>
                <w:vanish w:val="0"/>
                <w:kern w:val="2"/>
                <w:sz w:val="28"/>
                <w:szCs w:val="28"/>
                <w:vertAlign w:val="baseline"/>
              </w:rPr>
              <w:t>3</w:t>
            </w:r>
          </w:p>
        </w:tc>
        <w:tc>
          <w:tcPr>
            <w:tcW w:w="283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黑体" w:eastAsia="黑体" w:cs="Times New Roman"/>
                <w:vanish w:val="0"/>
                <w:kern w:val="2"/>
                <w:sz w:val="28"/>
                <w:szCs w:val="28"/>
                <w:vertAlign w:val="baseline"/>
              </w:rPr>
            </w:pPr>
            <w:r>
              <w:rPr>
                <w:rFonts w:hint="eastAsia" w:ascii="仿宋_GB2312" w:eastAsia="仿宋_GB2312" w:cs="Times New Roman"/>
                <w:vanish w:val="0"/>
                <w:kern w:val="2"/>
                <w:sz w:val="28"/>
                <w:szCs w:val="28"/>
                <w:vertAlign w:val="baseline"/>
              </w:rPr>
              <w:t>落实安全生产教育培训标准不高。</w:t>
            </w:r>
          </w:p>
        </w:tc>
        <w:tc>
          <w:tcPr>
            <w:tcW w:w="769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黑体" w:eastAsia="黑体" w:cs="Times New Roman"/>
                <w:vanish w:val="0"/>
                <w:kern w:val="2"/>
                <w:sz w:val="28"/>
                <w:szCs w:val="28"/>
                <w:vertAlign w:val="baseline"/>
              </w:rPr>
            </w:pPr>
            <w:r>
              <w:rPr>
                <w:rFonts w:hint="eastAsia" w:ascii="仿宋_GB2312" w:eastAsia="仿宋_GB2312" w:cs="Times New Roman"/>
                <w:vanish w:val="0"/>
                <w:kern w:val="2"/>
                <w:sz w:val="28"/>
                <w:szCs w:val="28"/>
                <w:vertAlign w:val="baseline"/>
              </w:rPr>
              <w:t>重点检查企业安全教育培训计划不落实，培训走过场的现象。</w:t>
            </w:r>
          </w:p>
        </w:tc>
        <w:tc>
          <w:tcPr>
            <w:tcW w:w="1876"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经济发展办公室</w:t>
            </w:r>
          </w:p>
        </w:tc>
        <w:tc>
          <w:tcPr>
            <w:tcW w:w="181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长期坚持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40" w:hRule="atLeast"/>
          <w:jc w:val="center"/>
          <w:hidden/>
        </w:trPr>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textAlignment w:val="baseline"/>
              <w:rPr>
                <w:rFonts w:hint="eastAsia" w:ascii="黑体" w:eastAsia="黑体" w:cs="Times New Roman"/>
                <w:vanish w:val="0"/>
                <w:kern w:val="2"/>
                <w:sz w:val="28"/>
                <w:szCs w:val="28"/>
                <w:vertAlign w:val="baseline"/>
              </w:rPr>
            </w:pPr>
            <w:r>
              <w:rPr>
                <w:rFonts w:hint="eastAsia" w:ascii="黑体" w:eastAsia="黑体" w:cs="Times New Roman"/>
                <w:vanish w:val="0"/>
                <w:kern w:val="2"/>
                <w:sz w:val="28"/>
                <w:szCs w:val="28"/>
                <w:vertAlign w:val="baseline"/>
              </w:rPr>
              <w:t>4</w:t>
            </w:r>
          </w:p>
        </w:tc>
        <w:tc>
          <w:tcPr>
            <w:tcW w:w="283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黑体" w:eastAsia="黑体" w:cs="Times New Roman"/>
                <w:vanish w:val="0"/>
                <w:kern w:val="2"/>
                <w:sz w:val="28"/>
                <w:szCs w:val="28"/>
                <w:vertAlign w:val="baseline"/>
              </w:rPr>
            </w:pPr>
            <w:r>
              <w:rPr>
                <w:rFonts w:hint="eastAsia" w:ascii="仿宋_GB2312" w:eastAsia="仿宋_GB2312" w:cs="Times New Roman"/>
                <w:vanish w:val="0"/>
                <w:kern w:val="2"/>
                <w:sz w:val="28"/>
                <w:szCs w:val="28"/>
                <w:vertAlign w:val="baseline"/>
              </w:rPr>
              <w:t>安全生产管理机构不健全、作用不明显</w:t>
            </w:r>
          </w:p>
        </w:tc>
        <w:tc>
          <w:tcPr>
            <w:tcW w:w="769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黑体" w:eastAsia="黑体" w:cs="Times New Roman"/>
                <w:vanish w:val="0"/>
                <w:kern w:val="2"/>
                <w:sz w:val="28"/>
                <w:szCs w:val="28"/>
                <w:vertAlign w:val="baseline"/>
              </w:rPr>
            </w:pPr>
            <w:r>
              <w:rPr>
                <w:rFonts w:hint="eastAsia" w:ascii="仿宋_GB2312" w:eastAsia="仿宋_GB2312" w:cs="Times New Roman"/>
                <w:vanish w:val="0"/>
                <w:kern w:val="2"/>
                <w:sz w:val="28"/>
                <w:szCs w:val="28"/>
                <w:vertAlign w:val="baseline"/>
              </w:rPr>
              <w:t>强化监管执法。重点检查生产经营单位执行法律法规不严格，主体责任不落实、规章制度不健全等问题，提升防范化解风险的能力。</w:t>
            </w:r>
          </w:p>
        </w:tc>
        <w:tc>
          <w:tcPr>
            <w:tcW w:w="1876"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经济发展办公室</w:t>
            </w:r>
          </w:p>
        </w:tc>
        <w:tc>
          <w:tcPr>
            <w:tcW w:w="181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长期坚持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40" w:hRule="atLeast"/>
          <w:jc w:val="center"/>
          <w:hidden/>
        </w:trPr>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textAlignment w:val="baseline"/>
              <w:rPr>
                <w:rFonts w:hint="eastAsia" w:ascii="黑体" w:eastAsia="黑体" w:cs="Times New Roman"/>
                <w:vanish w:val="0"/>
                <w:kern w:val="2"/>
                <w:sz w:val="28"/>
                <w:szCs w:val="28"/>
                <w:vertAlign w:val="baseline"/>
              </w:rPr>
            </w:pPr>
            <w:r>
              <w:rPr>
                <w:rFonts w:hint="eastAsia" w:ascii="黑体" w:eastAsia="黑体" w:cs="Times New Roman"/>
                <w:vanish w:val="0"/>
                <w:kern w:val="2"/>
                <w:sz w:val="28"/>
                <w:szCs w:val="28"/>
                <w:vertAlign w:val="baseline"/>
              </w:rPr>
              <w:t>5</w:t>
            </w:r>
          </w:p>
        </w:tc>
        <w:tc>
          <w:tcPr>
            <w:tcW w:w="283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黑体" w:eastAsia="黑体" w:cs="Times New Roman"/>
                <w:vanish w:val="0"/>
                <w:kern w:val="2"/>
                <w:sz w:val="28"/>
                <w:szCs w:val="28"/>
                <w:vertAlign w:val="baseline"/>
              </w:rPr>
            </w:pPr>
            <w:r>
              <w:rPr>
                <w:rFonts w:hint="eastAsia" w:ascii="仿宋_GB2312" w:eastAsia="仿宋_GB2312" w:cs="Times New Roman"/>
                <w:vanish w:val="0"/>
                <w:kern w:val="2"/>
                <w:sz w:val="28"/>
                <w:szCs w:val="28"/>
                <w:vertAlign w:val="baseline"/>
              </w:rPr>
              <w:t>建设项目安全设施“三同时”落实不到位</w:t>
            </w:r>
          </w:p>
        </w:tc>
        <w:tc>
          <w:tcPr>
            <w:tcW w:w="769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黑体" w:eastAsia="黑体" w:cs="Times New Roman"/>
                <w:vanish w:val="0"/>
                <w:kern w:val="2"/>
                <w:sz w:val="28"/>
                <w:szCs w:val="28"/>
                <w:vertAlign w:val="baseline"/>
              </w:rPr>
            </w:pPr>
            <w:r>
              <w:rPr>
                <w:rFonts w:hint="eastAsia" w:ascii="仿宋_GB2312" w:eastAsia="仿宋_GB2312" w:cs="Times New Roman"/>
                <w:vanish w:val="0"/>
                <w:kern w:val="2"/>
                <w:sz w:val="28"/>
                <w:szCs w:val="28"/>
                <w:vertAlign w:val="baseline"/>
              </w:rPr>
              <w:t>加强监管执法。突出对建设项目“三同时”的检查，依法查处生产经营单位的违法违规行为。</w:t>
            </w:r>
            <w:r>
              <w:rPr>
                <w:rFonts w:hint="eastAsia" w:ascii="仿宋_GB2312" w:eastAsia="仿宋_GB2312" w:cs="Times New Roman"/>
                <w:vanish w:val="0"/>
                <w:kern w:val="2"/>
                <w:sz w:val="28"/>
                <w:szCs w:val="28"/>
                <w:vertAlign w:val="baseline"/>
              </w:rPr>
              <w:tab/>
            </w:r>
          </w:p>
        </w:tc>
        <w:tc>
          <w:tcPr>
            <w:tcW w:w="1876"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经济发展办公室</w:t>
            </w:r>
          </w:p>
        </w:tc>
        <w:tc>
          <w:tcPr>
            <w:tcW w:w="181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长期坚持</w:t>
            </w:r>
          </w:p>
        </w:tc>
      </w:tr>
    </w:tbl>
    <w:p>
      <w:pPr>
        <w:pBdr>
          <w:top w:val="none" w:color="auto" w:sz="0" w:space="0"/>
          <w:left w:val="none" w:color="auto" w:sz="0" w:space="0"/>
          <w:bottom w:val="none" w:color="auto" w:sz="0" w:space="0"/>
          <w:right w:val="none" w:color="auto" w:sz="0" w:space="0"/>
        </w:pBdr>
        <w:ind w:left="0" w:leftChars="0" w:firstLine="0" w:firstLineChars="0"/>
        <w:jc w:val="center"/>
        <w:rPr>
          <w:rFonts w:hint="eastAsia" w:ascii="方正小标宋简体" w:hAnsi="方正小标宋简体" w:eastAsia="方正小标宋简体" w:cs="方正小标宋简体"/>
          <w:vanish w:val="0"/>
          <w:kern w:val="2"/>
          <w:sz w:val="44"/>
          <w:szCs w:val="44"/>
        </w:rPr>
      </w:pPr>
      <w:r>
        <w:rPr>
          <w:rFonts w:hint="eastAsia" w:ascii="方正小标宋简体" w:hAnsi="方正小标宋简体" w:eastAsia="方正小标宋简体" w:cs="方正小标宋简体"/>
          <w:vanish w:val="0"/>
          <w:kern w:val="2"/>
          <w:sz w:val="44"/>
          <w:szCs w:val="44"/>
        </w:rPr>
        <w:t>消防安全专项整治巩固提升阶段“三个清单”</w:t>
      </w:r>
    </w:p>
    <w:tbl>
      <w:tblPr>
        <w:tblStyle w:val="17"/>
        <w:tblpPr w:leftFromText="180" w:rightFromText="180" w:vertAnchor="text" w:horzAnchor="page" w:tblpX="453" w:tblpY="135"/>
        <w:tblOverlap w:val="never"/>
        <w:tblW w:w="1540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974"/>
        <w:gridCol w:w="3894"/>
        <w:gridCol w:w="6435"/>
        <w:gridCol w:w="2325"/>
        <w:gridCol w:w="177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8" w:hRule="atLeast"/>
          <w:hidden/>
        </w:trPr>
        <w:tc>
          <w:tcPr>
            <w:tcW w:w="97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560" w:lineRule="exact"/>
              <w:ind w:firstLine="0"/>
              <w:jc w:val="both"/>
              <w:textAlignment w:val="baseline"/>
              <w:rPr>
                <w:rFonts w:hint="eastAsia" w:ascii="仿宋" w:eastAsia="仿宋" w:cs="楷体_GB2312"/>
                <w:vanish w:val="0"/>
                <w:kern w:val="2"/>
                <w:sz w:val="32"/>
                <w:szCs w:val="32"/>
                <w:vertAlign w:val="baseline"/>
              </w:rPr>
            </w:pPr>
            <w:r>
              <w:rPr>
                <w:rFonts w:hint="eastAsia" w:ascii="仿宋" w:eastAsia="仿宋" w:cs="楷体_GB2312"/>
                <w:vanish w:val="0"/>
                <w:kern w:val="2"/>
                <w:sz w:val="32"/>
                <w:szCs w:val="32"/>
                <w:vertAlign w:val="baseline"/>
              </w:rPr>
              <w:t>序号</w:t>
            </w:r>
          </w:p>
        </w:tc>
        <w:tc>
          <w:tcPr>
            <w:tcW w:w="3894"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560" w:lineRule="exact"/>
              <w:ind w:left="0"/>
              <w:jc w:val="center"/>
              <w:textAlignment w:val="baseline"/>
              <w:rPr>
                <w:rFonts w:hint="eastAsia" w:ascii="黑体" w:eastAsia="黑体" w:cs="Times New Roman"/>
                <w:vanish w:val="0"/>
                <w:kern w:val="2"/>
                <w:sz w:val="32"/>
                <w:szCs w:val="32"/>
                <w:vertAlign w:val="baseline"/>
              </w:rPr>
            </w:pPr>
            <w:r>
              <w:rPr>
                <w:rFonts w:hint="eastAsia" w:ascii="黑体" w:eastAsia="黑体" w:cs="Times New Roman"/>
                <w:vanish w:val="0"/>
                <w:kern w:val="2"/>
                <w:sz w:val="32"/>
                <w:szCs w:val="32"/>
                <w:vertAlign w:val="baseline"/>
              </w:rPr>
              <w:t>问题清单</w:t>
            </w:r>
          </w:p>
        </w:tc>
        <w:tc>
          <w:tcPr>
            <w:tcW w:w="643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560" w:lineRule="exact"/>
              <w:ind w:left="0"/>
              <w:jc w:val="center"/>
              <w:textAlignment w:val="baseline"/>
              <w:rPr>
                <w:rFonts w:hint="eastAsia" w:ascii="黑体" w:eastAsia="黑体" w:cs="Times New Roman"/>
                <w:vanish w:val="0"/>
                <w:kern w:val="2"/>
                <w:sz w:val="32"/>
                <w:szCs w:val="32"/>
                <w:vertAlign w:val="baseline"/>
              </w:rPr>
            </w:pPr>
            <w:r>
              <w:rPr>
                <w:rFonts w:hint="eastAsia" w:ascii="黑体" w:eastAsia="黑体" w:cs="Times New Roman"/>
                <w:vanish w:val="0"/>
                <w:kern w:val="2"/>
                <w:sz w:val="32"/>
                <w:szCs w:val="32"/>
                <w:vertAlign w:val="baseline"/>
              </w:rPr>
              <w:t>任务清单</w:t>
            </w:r>
          </w:p>
        </w:tc>
        <w:tc>
          <w:tcPr>
            <w:tcW w:w="232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560" w:lineRule="exact"/>
              <w:ind w:left="0"/>
              <w:jc w:val="center"/>
              <w:textAlignment w:val="baseline"/>
              <w:rPr>
                <w:rFonts w:hint="eastAsia" w:ascii="黑体" w:eastAsia="黑体" w:cs="Times New Roman"/>
                <w:vanish w:val="0"/>
                <w:kern w:val="2"/>
                <w:sz w:val="24"/>
                <w:szCs w:val="24"/>
                <w:vertAlign w:val="baseline"/>
              </w:rPr>
            </w:pPr>
            <w:r>
              <w:rPr>
                <w:rFonts w:hint="eastAsia" w:ascii="黑体" w:eastAsia="黑体" w:cs="Times New Roman"/>
                <w:vanish w:val="0"/>
                <w:kern w:val="2"/>
                <w:sz w:val="32"/>
                <w:szCs w:val="32"/>
                <w:vertAlign w:val="baseline"/>
              </w:rPr>
              <w:t>责任单位</w:t>
            </w:r>
          </w:p>
        </w:tc>
        <w:tc>
          <w:tcPr>
            <w:tcW w:w="1777"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560" w:lineRule="exact"/>
              <w:ind w:firstLine="0"/>
              <w:jc w:val="both"/>
              <w:textAlignment w:val="baseline"/>
              <w:rPr>
                <w:rFonts w:hint="eastAsia" w:ascii="黑体" w:eastAsia="黑体" w:cs="Times New Roman"/>
                <w:vanish w:val="0"/>
                <w:kern w:val="2"/>
                <w:sz w:val="32"/>
                <w:szCs w:val="32"/>
                <w:vertAlign w:val="baseline"/>
              </w:rPr>
            </w:pPr>
            <w:r>
              <w:rPr>
                <w:rFonts w:hint="eastAsia" w:ascii="黑体" w:eastAsia="黑体" w:cs="Times New Roman"/>
                <w:vanish w:val="0"/>
                <w:kern w:val="2"/>
                <w:sz w:val="32"/>
                <w:szCs w:val="32"/>
                <w:vertAlign w:val="baseline"/>
              </w:rPr>
              <w:t>完成时限</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40" w:hRule="atLeast"/>
          <w:hidden/>
        </w:trPr>
        <w:tc>
          <w:tcPr>
            <w:tcW w:w="974" w:type="dxa"/>
            <w:tcBorders>
              <w:top w:val="single" w:color="auto" w:sz="4" w:space="0"/>
              <w:left w:val="single" w:color="auto" w:sz="4" w:space="0"/>
              <w:bottom w:val="single" w:color="auto" w:sz="4" w:space="0"/>
              <w:right w:val="single" w:color="auto" w:sz="4" w:space="0"/>
              <w:tl2br w:val="nil"/>
              <w:tr2bl w:val="nil"/>
            </w:tcBorders>
            <w:vAlign w:val="center"/>
          </w:tcPr>
          <w:p>
            <w:pPr>
              <w:pStyle w:val="16"/>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firstLine="560" w:firstLineChars="200"/>
              <w:jc w:val="both"/>
              <w:rPr>
                <w:rFonts w:ascii="Times New Roman" w:hAnsi="Times New Roman" w:eastAsia="方正小标宋_GBK" w:cs="Times New Roman"/>
                <w:vanish w:val="0"/>
                <w:kern w:val="44"/>
                <w:sz w:val="28"/>
                <w:szCs w:val="28"/>
              </w:rPr>
            </w:pPr>
            <w:r>
              <w:rPr>
                <w:rFonts w:ascii="Times New Roman" w:hAnsi="Times New Roman" w:eastAsia="方正小标宋_GBK" w:cs="Times New Roman"/>
                <w:vanish w:val="0"/>
                <w:kern w:val="44"/>
                <w:sz w:val="28"/>
                <w:szCs w:val="28"/>
              </w:rPr>
              <w:t>1</w:t>
            </w:r>
          </w:p>
        </w:tc>
        <w:tc>
          <w:tcPr>
            <w:tcW w:w="3894"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黑体" w:eastAsia="黑体" w:cs="Times New Roman"/>
                <w:vanish w:val="0"/>
                <w:kern w:val="2"/>
                <w:sz w:val="28"/>
                <w:szCs w:val="28"/>
                <w:vertAlign w:val="baseline"/>
              </w:rPr>
            </w:pPr>
            <w:r>
              <w:rPr>
                <w:rFonts w:hint="eastAsia" w:ascii="仿宋_GB2312" w:eastAsia="仿宋_GB2312" w:cs="Times New Roman"/>
                <w:vanish w:val="0"/>
                <w:kern w:val="2"/>
                <w:sz w:val="28"/>
                <w:szCs w:val="28"/>
                <w:vertAlign w:val="baseline"/>
              </w:rPr>
              <w:t>高层建筑、专业市场等重点场所消防安全风险仍然较大。</w:t>
            </w:r>
          </w:p>
        </w:tc>
        <w:tc>
          <w:tcPr>
            <w:tcW w:w="643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黑体" w:eastAsia="黑体" w:cs="Times New Roman"/>
                <w:vanish w:val="0"/>
                <w:kern w:val="2"/>
                <w:sz w:val="28"/>
                <w:szCs w:val="28"/>
                <w:vertAlign w:val="baseline"/>
              </w:rPr>
            </w:pPr>
            <w:r>
              <w:rPr>
                <w:rFonts w:hint="eastAsia" w:ascii="仿宋_GB2312" w:eastAsia="仿宋_GB2312" w:cs="Times New Roman"/>
                <w:vanish w:val="0"/>
                <w:kern w:val="2"/>
                <w:sz w:val="28"/>
                <w:szCs w:val="28"/>
                <w:vertAlign w:val="baseline"/>
              </w:rPr>
              <w:t>开展高层建筑、专业市场专项治理，对相关责任人管理人员开展业务培训，进一步提升高层建筑、专业市场的消防安全管理水平。</w:t>
            </w:r>
          </w:p>
        </w:tc>
        <w:tc>
          <w:tcPr>
            <w:tcW w:w="232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消安委成员单位</w:t>
            </w:r>
          </w:p>
        </w:tc>
        <w:tc>
          <w:tcPr>
            <w:tcW w:w="1777"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2022年底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95" w:hRule="atLeast"/>
          <w:hidden/>
        </w:trPr>
        <w:tc>
          <w:tcPr>
            <w:tcW w:w="97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textAlignment w:val="baseline"/>
              <w:rPr>
                <w:rFonts w:hint="eastAsia" w:ascii="黑体" w:eastAsia="黑体" w:cs="Times New Roman"/>
                <w:vanish w:val="0"/>
                <w:kern w:val="2"/>
                <w:sz w:val="28"/>
                <w:szCs w:val="28"/>
                <w:vertAlign w:val="baseline"/>
              </w:rPr>
            </w:pPr>
            <w:r>
              <w:rPr>
                <w:rFonts w:hint="eastAsia" w:ascii="黑体" w:eastAsia="黑体" w:cs="Times New Roman"/>
                <w:vanish w:val="0"/>
                <w:kern w:val="2"/>
                <w:sz w:val="28"/>
                <w:szCs w:val="28"/>
                <w:vertAlign w:val="baseline"/>
              </w:rPr>
              <w:t>2</w:t>
            </w:r>
          </w:p>
        </w:tc>
        <w:tc>
          <w:tcPr>
            <w:tcW w:w="3894"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黑体" w:eastAsia="黑体" w:cs="Times New Roman"/>
                <w:vanish w:val="0"/>
                <w:kern w:val="2"/>
                <w:sz w:val="28"/>
                <w:szCs w:val="28"/>
                <w:vertAlign w:val="baseline"/>
              </w:rPr>
            </w:pPr>
            <w:r>
              <w:rPr>
                <w:rFonts w:hint="eastAsia" w:ascii="仿宋_GB2312" w:eastAsia="仿宋_GB2312" w:cs="Times New Roman"/>
                <w:vanish w:val="0"/>
                <w:kern w:val="2"/>
                <w:sz w:val="28"/>
                <w:szCs w:val="28"/>
                <w:vertAlign w:val="baseline"/>
              </w:rPr>
              <w:t>养老院、学校幼儿园、医院、娱乐场所、宗教场所。</w:t>
            </w:r>
          </w:p>
        </w:tc>
        <w:tc>
          <w:tcPr>
            <w:tcW w:w="643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黑体" w:eastAsia="黑体" w:cs="Times New Roman"/>
                <w:vanish w:val="0"/>
                <w:kern w:val="2"/>
                <w:sz w:val="28"/>
                <w:szCs w:val="28"/>
                <w:vertAlign w:val="baseline"/>
              </w:rPr>
            </w:pPr>
            <w:r>
              <w:rPr>
                <w:rFonts w:hint="eastAsia" w:ascii="仿宋_GB2312" w:eastAsia="仿宋_GB2312" w:cs="Times New Roman"/>
                <w:vanish w:val="0"/>
                <w:kern w:val="2"/>
                <w:sz w:val="28"/>
                <w:szCs w:val="28"/>
                <w:vertAlign w:val="baseline"/>
              </w:rPr>
              <w:t>分行业开展消防安全排查整治。社会事务、宣传文化、党建办等单位带头组织开展本行业本领城消防安全专项整治。</w:t>
            </w:r>
          </w:p>
        </w:tc>
        <w:tc>
          <w:tcPr>
            <w:tcW w:w="232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消安委成员单位</w:t>
            </w:r>
          </w:p>
        </w:tc>
        <w:tc>
          <w:tcPr>
            <w:tcW w:w="1777"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2022年底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85" w:hRule="atLeast"/>
          <w:hidden/>
        </w:trPr>
        <w:tc>
          <w:tcPr>
            <w:tcW w:w="97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textAlignment w:val="baseline"/>
              <w:rPr>
                <w:rFonts w:hint="eastAsia" w:ascii="黑体" w:eastAsia="黑体" w:cs="Times New Roman"/>
                <w:vanish w:val="0"/>
                <w:kern w:val="2"/>
                <w:sz w:val="28"/>
                <w:szCs w:val="28"/>
                <w:vertAlign w:val="baseline"/>
              </w:rPr>
            </w:pPr>
            <w:r>
              <w:rPr>
                <w:rFonts w:hint="eastAsia" w:ascii="黑体" w:eastAsia="黑体" w:cs="Times New Roman"/>
                <w:vanish w:val="0"/>
                <w:kern w:val="2"/>
                <w:sz w:val="28"/>
                <w:szCs w:val="28"/>
                <w:vertAlign w:val="baseline"/>
              </w:rPr>
              <w:t>3</w:t>
            </w:r>
          </w:p>
        </w:tc>
        <w:tc>
          <w:tcPr>
            <w:tcW w:w="3894"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黑体" w:eastAsia="黑体" w:cs="Times New Roman"/>
                <w:vanish w:val="0"/>
                <w:kern w:val="2"/>
                <w:sz w:val="28"/>
                <w:szCs w:val="28"/>
                <w:vertAlign w:val="baseline"/>
              </w:rPr>
            </w:pPr>
            <w:r>
              <w:rPr>
                <w:rFonts w:hint="eastAsia" w:ascii="仿宋_GB2312" w:eastAsia="仿宋_GB2312" w:cs="Times New Roman"/>
                <w:vanish w:val="0"/>
                <w:kern w:val="2"/>
                <w:sz w:val="28"/>
                <w:szCs w:val="28"/>
                <w:vertAlign w:val="baseline"/>
              </w:rPr>
              <w:t>九小场所、沿街门店以及居民住宅等“小火亡人”现象仍较突出。</w:t>
            </w:r>
          </w:p>
        </w:tc>
        <w:tc>
          <w:tcPr>
            <w:tcW w:w="643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ascii="仿宋_GB2312" w:eastAsia="仿宋_GB2312" w:cs="Times New Roman"/>
                <w:vanish w:val="0"/>
                <w:kern w:val="2"/>
                <w:sz w:val="28"/>
                <w:szCs w:val="28"/>
                <w:vertAlign w:val="baseline"/>
              </w:rPr>
            </w:pPr>
            <w:r>
              <w:rPr>
                <w:rFonts w:ascii="仿宋_GB2312" w:eastAsia="仿宋_GB2312" w:cs="Times New Roman"/>
                <w:vanish w:val="0"/>
                <w:kern w:val="2"/>
                <w:sz w:val="28"/>
                <w:szCs w:val="28"/>
                <w:vertAlign w:val="baseline"/>
              </w:rPr>
              <w:t>1.</w:t>
            </w:r>
            <w:r>
              <w:rPr>
                <w:rFonts w:hint="eastAsia" w:ascii="仿宋_GB2312" w:eastAsia="仿宋_GB2312" w:cs="Times New Roman"/>
                <w:vanish w:val="0"/>
                <w:kern w:val="2"/>
                <w:sz w:val="28"/>
                <w:szCs w:val="28"/>
                <w:vertAlign w:val="baseline"/>
              </w:rPr>
              <w:t>发动基层力量定期开展九小场所、沿街门店排查检查。结合平安建设、“三零”创建等工作，开展经常性消防安全排查整治，及时发现纠正突出问题。</w:t>
            </w:r>
          </w:p>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黑体" w:eastAsia="黑体" w:cs="Times New Roman"/>
                <w:vanish w:val="0"/>
                <w:kern w:val="2"/>
                <w:sz w:val="28"/>
                <w:szCs w:val="28"/>
                <w:vertAlign w:val="baseline"/>
              </w:rPr>
            </w:pPr>
            <w:r>
              <w:rPr>
                <w:rFonts w:hint="eastAsia" w:ascii="仿宋_GB2312" w:eastAsia="仿宋_GB2312" w:cs="Times New Roman"/>
                <w:vanish w:val="0"/>
                <w:kern w:val="2"/>
                <w:sz w:val="28"/>
                <w:szCs w:val="28"/>
                <w:vertAlign w:val="baseline"/>
              </w:rPr>
              <w:t>2.加强业务培训，提升能力素质。</w:t>
            </w:r>
            <w:r>
              <w:rPr>
                <w:rFonts w:hint="eastAsia" w:ascii="仿宋_GB2312" w:eastAsia="仿宋_GB2312" w:cs="Times New Roman"/>
                <w:vanish w:val="0"/>
                <w:kern w:val="2"/>
                <w:sz w:val="28"/>
                <w:szCs w:val="28"/>
                <w:vertAlign w:val="baseline"/>
              </w:rPr>
              <w:br w:type="textWrapping"/>
            </w:r>
            <w:r>
              <w:rPr>
                <w:rFonts w:hint="eastAsia" w:ascii="仿宋_GB2312" w:eastAsia="仿宋_GB2312" w:cs="Times New Roman"/>
                <w:vanish w:val="0"/>
                <w:kern w:val="2"/>
                <w:sz w:val="28"/>
                <w:szCs w:val="28"/>
                <w:vertAlign w:val="baseline"/>
              </w:rPr>
              <w:t>3.指导各居委会消防救援站完善制度机制，规范日常运行。</w:t>
            </w:r>
          </w:p>
        </w:tc>
        <w:tc>
          <w:tcPr>
            <w:tcW w:w="232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消安委成员单位</w:t>
            </w:r>
          </w:p>
        </w:tc>
        <w:tc>
          <w:tcPr>
            <w:tcW w:w="1777"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2022年底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65" w:hRule="atLeast"/>
          <w:hidden/>
        </w:trPr>
        <w:tc>
          <w:tcPr>
            <w:tcW w:w="97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textAlignment w:val="baseline"/>
              <w:rPr>
                <w:rFonts w:hint="eastAsia" w:ascii="黑体" w:eastAsia="黑体" w:cs="Times New Roman"/>
                <w:vanish w:val="0"/>
                <w:kern w:val="2"/>
                <w:sz w:val="28"/>
                <w:szCs w:val="28"/>
                <w:vertAlign w:val="baseline"/>
              </w:rPr>
            </w:pPr>
            <w:r>
              <w:rPr>
                <w:rFonts w:hint="eastAsia" w:ascii="黑体" w:eastAsia="黑体" w:cs="Times New Roman"/>
                <w:vanish w:val="0"/>
                <w:kern w:val="2"/>
                <w:sz w:val="28"/>
                <w:szCs w:val="28"/>
                <w:vertAlign w:val="baseline"/>
              </w:rPr>
              <w:t>4</w:t>
            </w:r>
          </w:p>
        </w:tc>
        <w:tc>
          <w:tcPr>
            <w:tcW w:w="3894"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黑体" w:eastAsia="黑体" w:cs="Times New Roman"/>
                <w:vanish w:val="0"/>
                <w:kern w:val="2"/>
                <w:sz w:val="28"/>
                <w:szCs w:val="28"/>
                <w:vertAlign w:val="baseline"/>
              </w:rPr>
            </w:pPr>
            <w:r>
              <w:rPr>
                <w:rFonts w:hint="eastAsia" w:ascii="仿宋_GB2312" w:eastAsia="仿宋_GB2312" w:cs="Times New Roman"/>
                <w:vanish w:val="0"/>
                <w:kern w:val="2"/>
                <w:sz w:val="28"/>
                <w:szCs w:val="28"/>
                <w:vertAlign w:val="baseline"/>
              </w:rPr>
              <w:t>违规使用易燃可燃彩钢板现象仍较多，火灾事故时有发生，消防安全风险较高。</w:t>
            </w:r>
          </w:p>
        </w:tc>
        <w:tc>
          <w:tcPr>
            <w:tcW w:w="643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黑体" w:eastAsia="黑体" w:cs="Times New Roman"/>
                <w:vanish w:val="0"/>
                <w:kern w:val="2"/>
                <w:sz w:val="28"/>
                <w:szCs w:val="28"/>
                <w:vertAlign w:val="baseline"/>
              </w:rPr>
            </w:pPr>
            <w:r>
              <w:rPr>
                <w:rFonts w:hint="eastAsia" w:ascii="仿宋_GB2312" w:eastAsia="仿宋_GB2312" w:cs="Times New Roman"/>
                <w:vanish w:val="0"/>
                <w:kern w:val="2"/>
                <w:sz w:val="28"/>
                <w:szCs w:val="28"/>
                <w:vertAlign w:val="baseline"/>
              </w:rPr>
              <w:t>持续深化易燃可燃夹芯彩钢板综合整治。</w:t>
            </w:r>
          </w:p>
        </w:tc>
        <w:tc>
          <w:tcPr>
            <w:tcW w:w="232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消安委成员单位</w:t>
            </w:r>
          </w:p>
        </w:tc>
        <w:tc>
          <w:tcPr>
            <w:tcW w:w="1777"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2022年底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95" w:hRule="atLeast"/>
          <w:hidden/>
        </w:trPr>
        <w:tc>
          <w:tcPr>
            <w:tcW w:w="97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leftChars="0"/>
              <w:jc w:val="center"/>
              <w:textAlignment w:val="baseline"/>
              <w:rPr>
                <w:rFonts w:hint="eastAsia" w:ascii="黑体" w:eastAsia="黑体" w:cs="Times New Roman" w:hAnsiTheme="minorHAnsi"/>
                <w:vanish w:val="0"/>
                <w:kern w:val="2"/>
                <w:sz w:val="28"/>
                <w:szCs w:val="28"/>
                <w:vertAlign w:val="baseline"/>
                <w:lang w:val="en-US" w:eastAsia="zh-CN" w:bidi="ar-SA"/>
              </w:rPr>
            </w:pPr>
            <w:r>
              <w:rPr>
                <w:rFonts w:hint="eastAsia" w:ascii="黑体" w:eastAsia="黑体" w:cs="Times New Roman"/>
                <w:vanish w:val="0"/>
                <w:kern w:val="2"/>
                <w:sz w:val="28"/>
                <w:szCs w:val="28"/>
                <w:vertAlign w:val="baseline"/>
              </w:rPr>
              <w:t>5</w:t>
            </w:r>
          </w:p>
        </w:tc>
        <w:tc>
          <w:tcPr>
            <w:tcW w:w="3894"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firstLineChars="0"/>
              <w:jc w:val="left"/>
              <w:textAlignment w:val="baseline"/>
              <w:rPr>
                <w:rFonts w:hint="eastAsia" w:ascii="黑体" w:eastAsia="黑体" w:cs="Times New Roman" w:hAnsiTheme="minorHAnsi"/>
                <w:vanish w:val="0"/>
                <w:kern w:val="2"/>
                <w:sz w:val="28"/>
                <w:szCs w:val="28"/>
                <w:vertAlign w:val="baseline"/>
                <w:lang w:val="en-US" w:eastAsia="zh-CN" w:bidi="ar-SA"/>
              </w:rPr>
            </w:pPr>
            <w:r>
              <w:rPr>
                <w:rFonts w:hint="eastAsia" w:ascii="仿宋_GB2312" w:eastAsia="仿宋_GB2312" w:cs="Times New Roman"/>
                <w:vanish w:val="0"/>
                <w:kern w:val="2"/>
                <w:sz w:val="28"/>
                <w:szCs w:val="28"/>
                <w:vertAlign w:val="baseline"/>
              </w:rPr>
              <w:t>因电气线路故障引发火灾的数量较多。</w:t>
            </w:r>
          </w:p>
        </w:tc>
        <w:tc>
          <w:tcPr>
            <w:tcW w:w="643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560" w:lineRule="exact"/>
              <w:ind w:firstLine="0" w:firstLineChars="0"/>
              <w:jc w:val="left"/>
              <w:rPr>
                <w:rFonts w:hint="eastAsia" w:ascii="黑体" w:eastAsia="黑体" w:cs="Times New Roman" w:hAnsiTheme="minorHAnsi"/>
                <w:vanish w:val="0"/>
                <w:kern w:val="2"/>
                <w:sz w:val="28"/>
                <w:szCs w:val="28"/>
                <w:lang w:val="en-US" w:eastAsia="zh-CN" w:bidi="ar-SA"/>
              </w:rPr>
            </w:pPr>
            <w:r>
              <w:rPr>
                <w:rFonts w:hint="eastAsia" w:ascii="仿宋_GB2312" w:eastAsia="仿宋_GB2312" w:cs="Times New Roman"/>
                <w:vanish w:val="0"/>
                <w:kern w:val="2"/>
                <w:sz w:val="28"/>
                <w:szCs w:val="28"/>
              </w:rPr>
              <w:t>将电气安全要求融入各项治理范围，建立电气消防安全联合监管机制，提升电气火灾防控水平。</w:t>
            </w:r>
          </w:p>
        </w:tc>
        <w:tc>
          <w:tcPr>
            <w:tcW w:w="232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firstLineChars="0"/>
              <w:jc w:val="both"/>
              <w:textAlignment w:val="baseline"/>
              <w:rPr>
                <w:rFonts w:hint="eastAsia" w:ascii="仿宋_GB2312" w:eastAsia="仿宋_GB2312" w:cs="Times New Roman" w:hAnsiTheme="minorHAnsi"/>
                <w:vanish w:val="0"/>
                <w:kern w:val="2"/>
                <w:sz w:val="28"/>
                <w:szCs w:val="28"/>
                <w:vertAlign w:val="baseline"/>
                <w:lang w:val="en-US" w:eastAsia="zh-CN" w:bidi="ar-SA"/>
              </w:rPr>
            </w:pPr>
            <w:r>
              <w:rPr>
                <w:rFonts w:hint="eastAsia" w:ascii="仿宋_GB2312" w:eastAsia="仿宋_GB2312" w:cs="Times New Roman"/>
                <w:vanish w:val="0"/>
                <w:kern w:val="2"/>
                <w:sz w:val="28"/>
                <w:szCs w:val="28"/>
                <w:vertAlign w:val="baseline"/>
              </w:rPr>
              <w:t>消安委成员单位</w:t>
            </w:r>
          </w:p>
        </w:tc>
        <w:tc>
          <w:tcPr>
            <w:tcW w:w="1777"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firstLineChars="0"/>
              <w:jc w:val="both"/>
              <w:textAlignment w:val="baseline"/>
              <w:rPr>
                <w:rFonts w:hint="eastAsia" w:ascii="仿宋_GB2312" w:eastAsia="仿宋_GB2312" w:cs="Times New Roman" w:hAnsiTheme="minorHAnsi"/>
                <w:vanish w:val="0"/>
                <w:kern w:val="2"/>
                <w:sz w:val="28"/>
                <w:szCs w:val="28"/>
                <w:vertAlign w:val="baseline"/>
                <w:lang w:val="en-US" w:eastAsia="zh-CN" w:bidi="ar-SA"/>
              </w:rPr>
            </w:pPr>
            <w:r>
              <w:rPr>
                <w:rFonts w:hint="eastAsia" w:ascii="仿宋_GB2312" w:eastAsia="仿宋_GB2312" w:cs="Times New Roman"/>
                <w:vanish w:val="0"/>
                <w:kern w:val="2"/>
                <w:sz w:val="28"/>
                <w:szCs w:val="28"/>
                <w:vertAlign w:val="baseline"/>
              </w:rPr>
              <w:t>2022年底</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60" w:lineRule="exact"/>
        <w:jc w:val="center"/>
        <w:rPr>
          <w:rFonts w:hint="eastAsia" w:ascii="黑体" w:eastAsia="黑体"/>
          <w:vanish w:val="0"/>
          <w:kern w:val="2"/>
          <w:sz w:val="44"/>
          <w:szCs w:val="44"/>
        </w:rPr>
      </w:pPr>
      <w:r>
        <w:rPr>
          <w:rFonts w:hint="eastAsia" w:ascii="方正小标宋简体" w:hAnsi="方正小标宋简体" w:eastAsia="方正小标宋简体" w:cs="方正小标宋简体"/>
          <w:vanish w:val="0"/>
          <w:kern w:val="2"/>
          <w:sz w:val="44"/>
          <w:szCs w:val="44"/>
        </w:rPr>
        <w:t>工贸行业安全生产专项整治三年行动巩固提升阶段“三个清单”</w:t>
      </w:r>
    </w:p>
    <w:p>
      <w:pPr>
        <w:pStyle w:val="4"/>
        <w:rPr>
          <w:rFonts w:ascii="Times New Roman" w:hAnsi="Times New Roman" w:eastAsia="方正小标宋_GBK"/>
          <w:kern w:val="44"/>
          <w:sz w:val="44"/>
          <w:szCs w:val="44"/>
        </w:rPr>
      </w:pPr>
    </w:p>
    <w:tbl>
      <w:tblPr>
        <w:tblStyle w:val="17"/>
        <w:tblW w:w="1521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944"/>
        <w:gridCol w:w="2910"/>
        <w:gridCol w:w="7320"/>
        <w:gridCol w:w="2281"/>
        <w:gridCol w:w="175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8" w:hRule="atLeast"/>
          <w:jc w:val="center"/>
          <w:hidden/>
        </w:trPr>
        <w:tc>
          <w:tcPr>
            <w:tcW w:w="94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560" w:lineRule="exact"/>
              <w:ind w:firstLine="0"/>
              <w:jc w:val="both"/>
              <w:textAlignment w:val="baseline"/>
              <w:rPr>
                <w:rFonts w:hint="eastAsia" w:ascii="仿宋" w:eastAsia="仿宋" w:cs="楷体_GB2312"/>
                <w:vanish w:val="0"/>
                <w:kern w:val="2"/>
                <w:sz w:val="32"/>
                <w:szCs w:val="32"/>
                <w:vertAlign w:val="baseline"/>
              </w:rPr>
            </w:pPr>
            <w:r>
              <w:rPr>
                <w:rFonts w:hint="eastAsia" w:ascii="仿宋" w:eastAsia="仿宋" w:cs="楷体_GB2312"/>
                <w:vanish w:val="0"/>
                <w:kern w:val="2"/>
                <w:sz w:val="32"/>
                <w:szCs w:val="32"/>
                <w:vertAlign w:val="baseline"/>
              </w:rPr>
              <w:t>序号</w:t>
            </w:r>
          </w:p>
        </w:tc>
        <w:tc>
          <w:tcPr>
            <w:tcW w:w="2910"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560" w:lineRule="exact"/>
              <w:ind w:left="0"/>
              <w:jc w:val="center"/>
              <w:textAlignment w:val="baseline"/>
              <w:rPr>
                <w:rFonts w:hint="eastAsia" w:ascii="黑体" w:eastAsia="黑体" w:cs="Times New Roman"/>
                <w:vanish w:val="0"/>
                <w:kern w:val="2"/>
                <w:sz w:val="32"/>
                <w:szCs w:val="32"/>
                <w:vertAlign w:val="baseline"/>
              </w:rPr>
            </w:pPr>
            <w:r>
              <w:rPr>
                <w:rFonts w:hint="eastAsia" w:ascii="黑体" w:eastAsia="黑体" w:cs="Times New Roman"/>
                <w:vanish w:val="0"/>
                <w:kern w:val="2"/>
                <w:sz w:val="32"/>
                <w:szCs w:val="32"/>
                <w:vertAlign w:val="baseline"/>
              </w:rPr>
              <w:t>问题清单</w:t>
            </w:r>
          </w:p>
        </w:tc>
        <w:tc>
          <w:tcPr>
            <w:tcW w:w="7320"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560" w:lineRule="exact"/>
              <w:ind w:left="0"/>
              <w:jc w:val="center"/>
              <w:textAlignment w:val="baseline"/>
              <w:rPr>
                <w:rFonts w:hint="eastAsia" w:ascii="黑体" w:eastAsia="黑体" w:cs="Times New Roman"/>
                <w:vanish w:val="0"/>
                <w:kern w:val="2"/>
                <w:sz w:val="32"/>
                <w:szCs w:val="32"/>
                <w:vertAlign w:val="baseline"/>
              </w:rPr>
            </w:pPr>
            <w:r>
              <w:rPr>
                <w:rFonts w:hint="eastAsia" w:ascii="黑体" w:eastAsia="黑体" w:cs="Times New Roman"/>
                <w:vanish w:val="0"/>
                <w:kern w:val="2"/>
                <w:sz w:val="32"/>
                <w:szCs w:val="32"/>
                <w:vertAlign w:val="baseline"/>
              </w:rPr>
              <w:t>任务清单</w:t>
            </w:r>
          </w:p>
        </w:tc>
        <w:tc>
          <w:tcPr>
            <w:tcW w:w="2281"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560" w:lineRule="exact"/>
              <w:ind w:left="0"/>
              <w:jc w:val="center"/>
              <w:textAlignment w:val="baseline"/>
              <w:rPr>
                <w:rFonts w:hint="eastAsia" w:ascii="黑体" w:eastAsia="黑体" w:cs="Times New Roman"/>
                <w:vanish w:val="0"/>
                <w:kern w:val="2"/>
                <w:sz w:val="32"/>
                <w:szCs w:val="32"/>
                <w:vertAlign w:val="baseline"/>
              </w:rPr>
            </w:pPr>
            <w:r>
              <w:rPr>
                <w:rFonts w:hint="eastAsia" w:ascii="黑体" w:eastAsia="黑体" w:cs="Times New Roman"/>
                <w:vanish w:val="0"/>
                <w:kern w:val="2"/>
                <w:sz w:val="32"/>
                <w:szCs w:val="32"/>
                <w:vertAlign w:val="baseline"/>
              </w:rPr>
              <w:t>责任单位</w:t>
            </w:r>
          </w:p>
        </w:tc>
        <w:tc>
          <w:tcPr>
            <w:tcW w:w="175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560" w:lineRule="exact"/>
              <w:ind w:firstLine="0"/>
              <w:jc w:val="both"/>
              <w:textAlignment w:val="baseline"/>
              <w:rPr>
                <w:rFonts w:hint="eastAsia" w:ascii="黑体" w:eastAsia="黑体" w:cs="Times New Roman"/>
                <w:vanish w:val="0"/>
                <w:kern w:val="2"/>
                <w:sz w:val="24"/>
                <w:szCs w:val="24"/>
                <w:vertAlign w:val="baseline"/>
              </w:rPr>
            </w:pPr>
            <w:r>
              <w:rPr>
                <w:rFonts w:hint="eastAsia" w:ascii="黑体" w:eastAsia="黑体" w:cs="Times New Roman"/>
                <w:vanish w:val="0"/>
                <w:kern w:val="2"/>
                <w:sz w:val="32"/>
                <w:szCs w:val="32"/>
                <w:vertAlign w:val="baseline"/>
              </w:rPr>
              <w:t>完成时限</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15" w:hRule="atLeast"/>
          <w:jc w:val="center"/>
          <w:hidden/>
        </w:trPr>
        <w:tc>
          <w:tcPr>
            <w:tcW w:w="94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textAlignment w:val="baseline"/>
              <w:rPr>
                <w:rFonts w:hint="eastAsia" w:ascii="黑体" w:eastAsia="黑体" w:cs="Times New Roman"/>
                <w:vanish w:val="0"/>
                <w:kern w:val="2"/>
                <w:sz w:val="28"/>
                <w:szCs w:val="28"/>
                <w:vertAlign w:val="baseline"/>
              </w:rPr>
            </w:pPr>
            <w:r>
              <w:rPr>
                <w:rFonts w:hint="eastAsia" w:ascii="黑体" w:eastAsia="黑体" w:cs="Times New Roman"/>
                <w:vanish w:val="0"/>
                <w:kern w:val="2"/>
                <w:sz w:val="28"/>
                <w:szCs w:val="28"/>
                <w:vertAlign w:val="baseline"/>
              </w:rPr>
              <w:t>1</w:t>
            </w:r>
          </w:p>
        </w:tc>
        <w:tc>
          <w:tcPr>
            <w:tcW w:w="2910"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黑体" w:eastAsia="黑体" w:cs="Times New Roman"/>
                <w:vanish w:val="0"/>
                <w:kern w:val="2"/>
                <w:sz w:val="28"/>
                <w:szCs w:val="28"/>
                <w:vertAlign w:val="baseline"/>
              </w:rPr>
            </w:pPr>
            <w:r>
              <w:rPr>
                <w:rFonts w:hint="eastAsia" w:ascii="仿宋_GB2312" w:eastAsia="仿宋_GB2312" w:cs="Times New Roman"/>
                <w:vanish w:val="0"/>
                <w:kern w:val="2"/>
                <w:sz w:val="28"/>
                <w:szCs w:val="28"/>
                <w:vertAlign w:val="baseline"/>
              </w:rPr>
              <w:t>工贸行业粉尘涉爆企业的安全风险管控水平需进一步提高</w:t>
            </w:r>
          </w:p>
        </w:tc>
        <w:tc>
          <w:tcPr>
            <w:tcW w:w="7320"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黑体" w:eastAsia="黑体" w:cs="Times New Roman"/>
                <w:vanish w:val="0"/>
                <w:kern w:val="2"/>
                <w:sz w:val="28"/>
                <w:szCs w:val="28"/>
                <w:vertAlign w:val="baseline"/>
              </w:rPr>
            </w:pPr>
            <w:r>
              <w:rPr>
                <w:rFonts w:hint="eastAsia" w:ascii="仿宋_GB2312" w:eastAsia="仿宋_GB2312" w:cs="Times New Roman"/>
                <w:vanish w:val="0"/>
                <w:kern w:val="2"/>
                <w:sz w:val="28"/>
                <w:szCs w:val="28"/>
                <w:vertAlign w:val="baseline"/>
              </w:rPr>
              <w:t>以《粉尘防爆安全规程》《粉尘爆炸危险场所用收尘器防爆导则》《建筑设计防火规范》等标准为依据，彻底整治相关工贸企业粉尘涉爆场所爆企业的安全风隐患，提升安全风险管控水平。</w:t>
            </w:r>
          </w:p>
        </w:tc>
        <w:tc>
          <w:tcPr>
            <w:tcW w:w="2281"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经济发展办公室</w:t>
            </w:r>
          </w:p>
        </w:tc>
        <w:tc>
          <w:tcPr>
            <w:tcW w:w="175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长期坚持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05" w:hRule="atLeast"/>
          <w:jc w:val="center"/>
          <w:hidden/>
        </w:trPr>
        <w:tc>
          <w:tcPr>
            <w:tcW w:w="94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textAlignment w:val="baseline"/>
              <w:rPr>
                <w:rFonts w:hint="eastAsia" w:ascii="黑体" w:eastAsia="黑体" w:cs="Times New Roman"/>
                <w:vanish w:val="0"/>
                <w:kern w:val="2"/>
                <w:sz w:val="28"/>
                <w:szCs w:val="28"/>
                <w:vertAlign w:val="baseline"/>
              </w:rPr>
            </w:pPr>
            <w:r>
              <w:rPr>
                <w:rFonts w:hint="eastAsia" w:ascii="黑体" w:eastAsia="黑体" w:cs="Times New Roman"/>
                <w:vanish w:val="0"/>
                <w:kern w:val="2"/>
                <w:sz w:val="28"/>
                <w:szCs w:val="28"/>
                <w:vertAlign w:val="baseline"/>
              </w:rPr>
              <w:t>2</w:t>
            </w:r>
          </w:p>
        </w:tc>
        <w:tc>
          <w:tcPr>
            <w:tcW w:w="2910"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left"/>
              <w:textAlignment w:val="baseline"/>
              <w:rPr>
                <w:rFonts w:hint="eastAsia" w:ascii="黑体" w:eastAsia="黑体" w:cs="Times New Roman"/>
                <w:vanish w:val="0"/>
                <w:kern w:val="2"/>
                <w:sz w:val="28"/>
                <w:szCs w:val="28"/>
                <w:vertAlign w:val="baseline"/>
              </w:rPr>
            </w:pPr>
            <w:r>
              <w:rPr>
                <w:rFonts w:hint="eastAsia" w:ascii="仿宋_GB2312" w:eastAsia="仿宋_GB2312" w:cs="Times New Roman"/>
                <w:vanish w:val="0"/>
                <w:kern w:val="2"/>
                <w:sz w:val="28"/>
                <w:szCs w:val="28"/>
                <w:vertAlign w:val="baseline"/>
              </w:rPr>
              <w:t>工贸行业有限空间作业安全管理未落实</w:t>
            </w:r>
          </w:p>
        </w:tc>
        <w:tc>
          <w:tcPr>
            <w:tcW w:w="7320"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黑体" w:eastAsia="黑体" w:cs="Times New Roman"/>
                <w:vanish w:val="0"/>
                <w:kern w:val="2"/>
                <w:sz w:val="28"/>
                <w:szCs w:val="28"/>
                <w:vertAlign w:val="baseline"/>
              </w:rPr>
            </w:pPr>
            <w:r>
              <w:rPr>
                <w:rFonts w:hint="eastAsia" w:ascii="仿宋_GB2312" w:eastAsia="仿宋_GB2312" w:cs="Times New Roman"/>
                <w:vanish w:val="0"/>
                <w:kern w:val="2"/>
                <w:sz w:val="28"/>
                <w:szCs w:val="28"/>
                <w:vertAlign w:val="baseline"/>
              </w:rPr>
              <w:t>以根据《工贸企业有限空间作业安全管理与监督暂行规定》和《工贸行业重大生产安全事故隐患判定标准(2017版)》相关规定，规范有限空间作业管理。</w:t>
            </w:r>
          </w:p>
        </w:tc>
        <w:tc>
          <w:tcPr>
            <w:tcW w:w="2281"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经济发展办公室</w:t>
            </w:r>
          </w:p>
        </w:tc>
        <w:tc>
          <w:tcPr>
            <w:tcW w:w="175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长期坚持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740" w:hRule="atLeast"/>
          <w:jc w:val="center"/>
          <w:hidden/>
        </w:trPr>
        <w:tc>
          <w:tcPr>
            <w:tcW w:w="94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textAlignment w:val="baseline"/>
              <w:rPr>
                <w:rFonts w:hint="eastAsia" w:ascii="黑体" w:eastAsia="黑体" w:cs="Times New Roman"/>
                <w:vanish w:val="0"/>
                <w:kern w:val="2"/>
                <w:sz w:val="28"/>
                <w:szCs w:val="28"/>
                <w:vertAlign w:val="baseline"/>
              </w:rPr>
            </w:pPr>
            <w:r>
              <w:rPr>
                <w:rFonts w:hint="eastAsia" w:ascii="黑体" w:eastAsia="黑体" w:cs="Times New Roman"/>
                <w:vanish w:val="0"/>
                <w:kern w:val="2"/>
                <w:sz w:val="28"/>
                <w:szCs w:val="28"/>
                <w:vertAlign w:val="baseline"/>
              </w:rPr>
              <w:t>3</w:t>
            </w:r>
          </w:p>
        </w:tc>
        <w:tc>
          <w:tcPr>
            <w:tcW w:w="2910"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560" w:lineRule="exact"/>
              <w:ind w:firstLine="0"/>
              <w:jc w:val="left"/>
              <w:rPr>
                <w:rFonts w:hint="eastAsia" w:ascii="黑体" w:eastAsia="黑体" w:cs="Times New Roman"/>
                <w:vanish w:val="0"/>
                <w:kern w:val="2"/>
                <w:sz w:val="28"/>
                <w:szCs w:val="28"/>
              </w:rPr>
            </w:pPr>
            <w:r>
              <w:rPr>
                <w:rFonts w:hint="eastAsia" w:ascii="仿宋_GB2312" w:eastAsia="仿宋_GB2312" w:cs="Times New Roman"/>
                <w:vanish w:val="0"/>
                <w:kern w:val="2"/>
                <w:sz w:val="28"/>
                <w:szCs w:val="28"/>
              </w:rPr>
              <w:t>涉氨制冷企业安全专项整治不彻</w:t>
            </w:r>
          </w:p>
        </w:tc>
        <w:tc>
          <w:tcPr>
            <w:tcW w:w="7320"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黑体" w:eastAsia="黑体" w:cs="Times New Roman"/>
                <w:vanish w:val="0"/>
                <w:kern w:val="2"/>
                <w:sz w:val="28"/>
                <w:szCs w:val="28"/>
                <w:vertAlign w:val="baseline"/>
              </w:rPr>
            </w:pPr>
            <w:r>
              <w:rPr>
                <w:rFonts w:hint="eastAsia" w:ascii="仿宋_GB2312" w:eastAsia="仿宋_GB2312" w:cs="Times New Roman"/>
                <w:vanish w:val="0"/>
                <w:kern w:val="2"/>
                <w:sz w:val="28"/>
                <w:szCs w:val="28"/>
                <w:vertAlign w:val="baseline"/>
              </w:rPr>
              <w:t>开展涉氨制冷专项整治，消除各项安全隐患，提升应急处置能力，确保涉氨制冷企业生产安全。</w:t>
            </w:r>
          </w:p>
        </w:tc>
        <w:tc>
          <w:tcPr>
            <w:tcW w:w="2281"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经济发展办公室</w:t>
            </w:r>
          </w:p>
        </w:tc>
        <w:tc>
          <w:tcPr>
            <w:tcW w:w="175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长期坚持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55" w:hRule="atLeast"/>
          <w:jc w:val="center"/>
          <w:hidden/>
        </w:trPr>
        <w:tc>
          <w:tcPr>
            <w:tcW w:w="94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textAlignment w:val="baseline"/>
              <w:rPr>
                <w:rFonts w:hint="eastAsia" w:ascii="黑体" w:eastAsia="黑体" w:cs="Times New Roman"/>
                <w:vanish w:val="0"/>
                <w:kern w:val="2"/>
                <w:sz w:val="28"/>
                <w:szCs w:val="28"/>
                <w:vertAlign w:val="baseline"/>
              </w:rPr>
            </w:pPr>
            <w:r>
              <w:rPr>
                <w:rFonts w:hint="eastAsia" w:ascii="黑体" w:eastAsia="黑体" w:cs="Times New Roman"/>
                <w:vanish w:val="0"/>
                <w:kern w:val="2"/>
                <w:sz w:val="28"/>
                <w:szCs w:val="28"/>
                <w:vertAlign w:val="baseline"/>
              </w:rPr>
              <w:t>4</w:t>
            </w:r>
          </w:p>
        </w:tc>
        <w:tc>
          <w:tcPr>
            <w:tcW w:w="2910"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黑体" w:eastAsia="黑体" w:cs="Times New Roman"/>
                <w:vanish w:val="0"/>
                <w:kern w:val="2"/>
                <w:sz w:val="28"/>
                <w:szCs w:val="28"/>
                <w:vertAlign w:val="baseline"/>
              </w:rPr>
            </w:pPr>
            <w:r>
              <w:rPr>
                <w:rFonts w:hint="eastAsia" w:ascii="仿宋_GB2312" w:eastAsia="仿宋_GB2312" w:cs="Times New Roman"/>
                <w:vanish w:val="0"/>
                <w:kern w:val="2"/>
                <w:sz w:val="28"/>
                <w:szCs w:val="28"/>
                <w:vertAlign w:val="baseline"/>
              </w:rPr>
              <w:t>相关方和外来人员不安全生产管理到位</w:t>
            </w:r>
          </w:p>
        </w:tc>
        <w:tc>
          <w:tcPr>
            <w:tcW w:w="7320"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黑体" w:eastAsia="黑体" w:cs="Times New Roman"/>
                <w:vanish w:val="0"/>
                <w:kern w:val="2"/>
                <w:sz w:val="28"/>
                <w:szCs w:val="28"/>
                <w:vertAlign w:val="baseline"/>
              </w:rPr>
            </w:pPr>
            <w:r>
              <w:rPr>
                <w:rFonts w:hint="eastAsia" w:ascii="仿宋_GB2312" w:eastAsia="仿宋_GB2312" w:cs="Times New Roman"/>
                <w:vanish w:val="0"/>
                <w:kern w:val="2"/>
                <w:sz w:val="28"/>
                <w:szCs w:val="28"/>
                <w:vertAlign w:val="baseline"/>
              </w:rPr>
              <w:t>依据《河南省安全生产条例》《河南省工矿商贸行业生产经营单位安全生产管理关方和外来人员安全生产管理办法》，落实各项安全管理措施。</w:t>
            </w:r>
          </w:p>
        </w:tc>
        <w:tc>
          <w:tcPr>
            <w:tcW w:w="2281"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经济发展办公室</w:t>
            </w:r>
          </w:p>
        </w:tc>
        <w:tc>
          <w:tcPr>
            <w:tcW w:w="175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长期坚持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40" w:hRule="atLeast"/>
          <w:jc w:val="center"/>
          <w:hidden/>
        </w:trPr>
        <w:tc>
          <w:tcPr>
            <w:tcW w:w="94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textAlignment w:val="baseline"/>
              <w:rPr>
                <w:rFonts w:hint="eastAsia" w:ascii="黑体" w:eastAsia="黑体" w:cs="Times New Roman"/>
                <w:vanish w:val="0"/>
                <w:kern w:val="2"/>
                <w:sz w:val="28"/>
                <w:szCs w:val="28"/>
                <w:vertAlign w:val="baseline"/>
              </w:rPr>
            </w:pPr>
            <w:r>
              <w:rPr>
                <w:rFonts w:hint="eastAsia" w:ascii="黑体" w:eastAsia="黑体" w:cs="Times New Roman"/>
                <w:vanish w:val="0"/>
                <w:kern w:val="2"/>
                <w:sz w:val="28"/>
                <w:szCs w:val="28"/>
                <w:vertAlign w:val="baseline"/>
              </w:rPr>
              <w:t>5</w:t>
            </w:r>
          </w:p>
        </w:tc>
        <w:tc>
          <w:tcPr>
            <w:tcW w:w="2910"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双重预防体系持续提升运行质量和效果不明显</w:t>
            </w:r>
          </w:p>
        </w:tc>
        <w:tc>
          <w:tcPr>
            <w:tcW w:w="7320" w:type="dxa"/>
            <w:tcBorders>
              <w:top w:val="single" w:color="auto" w:sz="4" w:space="0"/>
              <w:left w:val="nil"/>
              <w:bottom w:val="single" w:color="auto" w:sz="4" w:space="0"/>
              <w:right w:val="single" w:color="auto" w:sz="4" w:space="0"/>
              <w:tl2br w:val="nil"/>
              <w:tr2bl w:val="nil"/>
            </w:tcBorders>
            <w:vAlign w:val="center"/>
          </w:tcPr>
          <w:p>
            <w:pPr>
              <w:keepLines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560" w:lineRule="exact"/>
              <w:ind w:left="0" w:firstLine="0"/>
              <w:jc w:val="both"/>
              <w:rPr>
                <w:rFonts w:hint="eastAsia" w:ascii="仿宋_GB2312" w:eastAsia="仿宋_GB2312" w:cs="Times New Roman"/>
                <w:vanish w:val="0"/>
                <w:kern w:val="2"/>
                <w:sz w:val="28"/>
                <w:szCs w:val="28"/>
              </w:rPr>
            </w:pPr>
            <w:r>
              <w:rPr>
                <w:rFonts w:hint="eastAsia" w:ascii="仿宋_GB2312" w:eastAsia="仿宋_GB2312" w:cs="Times New Roman"/>
                <w:vanish w:val="0"/>
                <w:kern w:val="2"/>
                <w:sz w:val="28"/>
                <w:szCs w:val="28"/>
              </w:rPr>
              <w:t>对已建成运行双体系的企业，按照“五有”标准持续提升运行质量和效果。</w:t>
            </w:r>
          </w:p>
          <w:p>
            <w:pPr>
              <w:keepLines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560" w:lineRule="exact"/>
              <w:ind w:left="0" w:firstLine="0"/>
              <w:jc w:val="both"/>
              <w:rPr>
                <w:rFonts w:hint="eastAsia" w:ascii="仿宋_GB2312" w:eastAsia="仿宋_GB2312" w:cs="Times New Roman"/>
                <w:vanish w:val="0"/>
                <w:kern w:val="2"/>
                <w:sz w:val="28"/>
                <w:szCs w:val="28"/>
              </w:rPr>
            </w:pPr>
            <w:r>
              <w:rPr>
                <w:rFonts w:hint="eastAsia" w:ascii="仿宋_GB2312" w:eastAsia="仿宋_GB2312" w:cs="Times New Roman"/>
                <w:vanish w:val="0"/>
                <w:kern w:val="2"/>
                <w:sz w:val="28"/>
                <w:szCs w:val="28"/>
              </w:rPr>
              <w:t>推进小微企业体系建设，员工不多、技术力量不足的小微型企业，按照“精简、好用、管用”的原则，强化全员培训，增强全体员工风险优先理念，学习风险管理基本知识，掌握风险辨识和隐患排查基本方法，开展双重预防体系建设。</w:t>
            </w:r>
          </w:p>
        </w:tc>
        <w:tc>
          <w:tcPr>
            <w:tcW w:w="2281"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经济发展办公室</w:t>
            </w:r>
          </w:p>
        </w:tc>
        <w:tc>
          <w:tcPr>
            <w:tcW w:w="175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长期坚持</w:t>
            </w:r>
          </w:p>
        </w:tc>
      </w:tr>
    </w:tbl>
    <w:p>
      <w:pPr>
        <w:pBdr>
          <w:top w:val="none" w:color="auto" w:sz="0" w:space="0"/>
          <w:left w:val="none" w:color="auto" w:sz="0" w:space="0"/>
          <w:bottom w:val="none" w:color="auto" w:sz="0" w:space="0"/>
          <w:right w:val="none" w:color="auto" w:sz="0" w:space="0"/>
        </w:pBdr>
        <w:spacing w:line="560" w:lineRule="exact"/>
        <w:jc w:val="center"/>
        <w:textAlignment w:val="baseline"/>
        <w:rPr>
          <w:rFonts w:hint="eastAsia" w:ascii="仿宋_GB2312" w:eastAsia="仿宋_GB2312"/>
          <w:vanish w:val="0"/>
          <w:kern w:val="2"/>
          <w:sz w:val="44"/>
          <w:szCs w:val="44"/>
          <w:vertAlign w:val="baseline"/>
        </w:rPr>
      </w:pPr>
      <w:r>
        <w:rPr>
          <w:rFonts w:hint="eastAsia" w:ascii="仿宋_GB2312" w:eastAsia="仿宋_GB2312"/>
          <w:vanish w:val="0"/>
          <w:kern w:val="2"/>
          <w:sz w:val="44"/>
          <w:szCs w:val="44"/>
          <w:vertAlign w:val="baseline"/>
        </w:rPr>
        <w:tab/>
      </w:r>
    </w:p>
    <w:p>
      <w:pPr>
        <w:pBdr>
          <w:top w:val="none" w:color="auto" w:sz="0" w:space="0"/>
          <w:left w:val="none" w:color="auto" w:sz="0" w:space="0"/>
          <w:bottom w:val="none" w:color="auto" w:sz="0" w:space="0"/>
          <w:right w:val="none" w:color="auto" w:sz="0" w:space="0"/>
        </w:pBdr>
        <w:spacing w:line="560" w:lineRule="exact"/>
        <w:jc w:val="center"/>
        <w:textAlignment w:val="baseline"/>
        <w:rPr>
          <w:rFonts w:hint="eastAsia" w:ascii="仿宋_GB2312" w:eastAsia="仿宋_GB2312"/>
          <w:vanish w:val="0"/>
          <w:kern w:val="2"/>
          <w:sz w:val="44"/>
          <w:szCs w:val="44"/>
          <w:vertAlign w:val="baseline"/>
        </w:rPr>
      </w:pPr>
    </w:p>
    <w:p>
      <w:pPr>
        <w:pBdr>
          <w:top w:val="none" w:color="auto" w:sz="0" w:space="0"/>
          <w:left w:val="none" w:color="auto" w:sz="0" w:space="0"/>
          <w:bottom w:val="none" w:color="auto" w:sz="0" w:space="0"/>
          <w:right w:val="none" w:color="auto" w:sz="0" w:space="0"/>
        </w:pBdr>
        <w:spacing w:line="560" w:lineRule="exact"/>
        <w:jc w:val="center"/>
        <w:textAlignment w:val="baseline"/>
        <w:rPr>
          <w:rFonts w:ascii="仿宋_GB2312" w:eastAsia="仿宋_GB2312"/>
          <w:vanish w:val="0"/>
          <w:kern w:val="2"/>
          <w:sz w:val="44"/>
          <w:szCs w:val="44"/>
          <w:vertAlign w:val="baseline"/>
        </w:rPr>
      </w:pPr>
    </w:p>
    <w:p>
      <w:pPr>
        <w:pBdr>
          <w:top w:val="none" w:color="auto" w:sz="0" w:space="0"/>
          <w:left w:val="none" w:color="auto" w:sz="0" w:space="0"/>
          <w:bottom w:val="none" w:color="auto" w:sz="0" w:space="0"/>
          <w:right w:val="none" w:color="auto" w:sz="0" w:space="0"/>
        </w:pBdr>
        <w:spacing w:line="560" w:lineRule="exact"/>
        <w:jc w:val="center"/>
        <w:textAlignment w:val="baseline"/>
        <w:rPr>
          <w:rFonts w:ascii="仿宋_GB2312" w:eastAsia="仿宋_GB2312"/>
          <w:vanish w:val="0"/>
          <w:kern w:val="2"/>
          <w:sz w:val="44"/>
          <w:szCs w:val="44"/>
          <w:vertAlign w:val="baseline"/>
        </w:rPr>
      </w:pPr>
    </w:p>
    <w:p>
      <w:pPr>
        <w:pBdr>
          <w:top w:val="none" w:color="auto" w:sz="0" w:space="0"/>
          <w:left w:val="none" w:color="auto" w:sz="0" w:space="0"/>
          <w:bottom w:val="none" w:color="auto" w:sz="0" w:space="0"/>
          <w:right w:val="none" w:color="auto" w:sz="0" w:space="0"/>
        </w:pBdr>
        <w:spacing w:line="560" w:lineRule="exact"/>
        <w:jc w:val="center"/>
        <w:textAlignment w:val="baseline"/>
        <w:rPr>
          <w:rFonts w:hint="eastAsia" w:ascii="仿宋_GB2312" w:eastAsia="仿宋_GB2312"/>
          <w:vanish w:val="0"/>
          <w:kern w:val="2"/>
          <w:sz w:val="44"/>
          <w:szCs w:val="44"/>
          <w:vertAlign w:val="baseline"/>
        </w:rPr>
      </w:pPr>
    </w:p>
    <w:p>
      <w:pPr>
        <w:pStyle w:val="4"/>
        <w:rPr>
          <w:rFonts w:hint="eastAsia" w:ascii="仿宋_GB2312" w:eastAsia="仿宋_GB2312"/>
          <w:kern w:val="44"/>
          <w:sz w:val="44"/>
          <w:szCs w:val="44"/>
        </w:rPr>
      </w:pPr>
    </w:p>
    <w:p>
      <w:pPr>
        <w:pBdr>
          <w:top w:val="none" w:color="auto" w:sz="0" w:space="0"/>
          <w:left w:val="none" w:color="auto" w:sz="0" w:space="0"/>
          <w:bottom w:val="none" w:color="auto" w:sz="0" w:space="0"/>
          <w:right w:val="none" w:color="auto" w:sz="0" w:space="0"/>
        </w:pBdr>
        <w:spacing w:line="560" w:lineRule="exact"/>
        <w:jc w:val="center"/>
        <w:textAlignment w:val="baseline"/>
        <w:rPr>
          <w:rFonts w:hint="eastAsia" w:ascii="黑体" w:eastAsia="黑体"/>
          <w:vanish w:val="0"/>
          <w:kern w:val="2"/>
          <w:sz w:val="44"/>
          <w:szCs w:val="44"/>
          <w:vertAlign w:val="baseline"/>
        </w:rPr>
      </w:pPr>
    </w:p>
    <w:p>
      <w:pPr>
        <w:pBdr>
          <w:top w:val="none" w:color="auto" w:sz="0" w:space="0"/>
          <w:left w:val="none" w:color="auto" w:sz="0" w:space="0"/>
          <w:bottom w:val="none" w:color="auto" w:sz="0" w:space="0"/>
          <w:right w:val="none" w:color="auto" w:sz="0" w:space="0"/>
        </w:pBdr>
        <w:spacing w:line="560" w:lineRule="exact"/>
        <w:jc w:val="center"/>
        <w:textAlignment w:val="baseline"/>
        <w:rPr>
          <w:rFonts w:hint="eastAsia" w:ascii="黑体" w:eastAsia="黑体"/>
          <w:vanish w:val="0"/>
          <w:kern w:val="2"/>
          <w:sz w:val="44"/>
          <w:szCs w:val="44"/>
          <w:vertAlign w:val="baseline"/>
        </w:rPr>
      </w:pPr>
    </w:p>
    <w:p>
      <w:pPr>
        <w:pBdr>
          <w:top w:val="none" w:color="auto" w:sz="0" w:space="0"/>
          <w:left w:val="none" w:color="auto" w:sz="0" w:space="0"/>
          <w:bottom w:val="none" w:color="auto" w:sz="0" w:space="0"/>
          <w:right w:val="none" w:color="auto" w:sz="0" w:space="0"/>
        </w:pBdr>
        <w:spacing w:line="560" w:lineRule="exact"/>
        <w:jc w:val="center"/>
        <w:textAlignment w:val="baseline"/>
        <w:rPr>
          <w:rFonts w:hint="eastAsia" w:ascii="方正小标宋简体" w:hAnsi="方正小标宋简体" w:eastAsia="方正小标宋简体" w:cs="方正小标宋简体"/>
          <w:vanish w:val="0"/>
          <w:kern w:val="2"/>
          <w:sz w:val="44"/>
          <w:szCs w:val="44"/>
          <w:vertAlign w:val="baseline"/>
        </w:rPr>
      </w:pPr>
      <w:r>
        <w:rPr>
          <w:rFonts w:hint="eastAsia" w:ascii="方正小标宋简体" w:hAnsi="方正小标宋简体" w:eastAsia="方正小标宋简体" w:cs="方正小标宋简体"/>
          <w:vanish w:val="0"/>
          <w:kern w:val="2"/>
          <w:sz w:val="44"/>
          <w:szCs w:val="44"/>
          <w:vertAlign w:val="baseline"/>
        </w:rPr>
        <w:t>校园安全专项整治三年行动巩固提升阶段“三个清单”</w:t>
      </w:r>
    </w:p>
    <w:p>
      <w:pPr>
        <w:pStyle w:val="4"/>
        <w:rPr>
          <w:rFonts w:ascii="Times New Roman" w:hAnsi="Times New Roman" w:eastAsia="方正小标宋_GBK"/>
          <w:kern w:val="44"/>
          <w:sz w:val="44"/>
          <w:szCs w:val="44"/>
        </w:rPr>
      </w:pPr>
    </w:p>
    <w:tbl>
      <w:tblPr>
        <w:tblStyle w:val="17"/>
        <w:tblW w:w="1510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1004"/>
        <w:gridCol w:w="2649"/>
        <w:gridCol w:w="7942"/>
        <w:gridCol w:w="1755"/>
        <w:gridCol w:w="175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8" w:hRule="atLeast"/>
          <w:jc w:val="center"/>
          <w:hidden/>
        </w:trPr>
        <w:tc>
          <w:tcPr>
            <w:tcW w:w="100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560" w:lineRule="exact"/>
              <w:ind w:firstLine="0"/>
              <w:jc w:val="both"/>
              <w:textAlignment w:val="baseline"/>
              <w:rPr>
                <w:rFonts w:hint="eastAsia" w:ascii="仿宋" w:eastAsia="仿宋" w:cs="楷体_GB2312"/>
                <w:vanish w:val="0"/>
                <w:kern w:val="2"/>
                <w:sz w:val="32"/>
                <w:szCs w:val="32"/>
                <w:vertAlign w:val="baseline"/>
              </w:rPr>
            </w:pPr>
            <w:r>
              <w:rPr>
                <w:rFonts w:hint="eastAsia" w:ascii="仿宋" w:eastAsia="仿宋" w:cs="楷体_GB2312"/>
                <w:vanish w:val="0"/>
                <w:kern w:val="2"/>
                <w:sz w:val="32"/>
                <w:szCs w:val="32"/>
                <w:vertAlign w:val="baseline"/>
              </w:rPr>
              <w:t>序号</w:t>
            </w:r>
          </w:p>
        </w:tc>
        <w:tc>
          <w:tcPr>
            <w:tcW w:w="2649"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560" w:lineRule="exact"/>
              <w:ind w:left="0"/>
              <w:jc w:val="center"/>
              <w:textAlignment w:val="baseline"/>
              <w:rPr>
                <w:rFonts w:hint="eastAsia" w:ascii="黑体" w:eastAsia="黑体" w:cs="Times New Roman"/>
                <w:vanish w:val="0"/>
                <w:kern w:val="2"/>
                <w:sz w:val="32"/>
                <w:szCs w:val="32"/>
                <w:vertAlign w:val="baseline"/>
              </w:rPr>
            </w:pPr>
            <w:r>
              <w:rPr>
                <w:rFonts w:hint="eastAsia" w:ascii="黑体" w:eastAsia="黑体" w:cs="Times New Roman"/>
                <w:vanish w:val="0"/>
                <w:kern w:val="2"/>
                <w:sz w:val="32"/>
                <w:szCs w:val="32"/>
                <w:vertAlign w:val="baseline"/>
              </w:rPr>
              <w:t>问题清单</w:t>
            </w:r>
          </w:p>
        </w:tc>
        <w:tc>
          <w:tcPr>
            <w:tcW w:w="7942"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560" w:lineRule="exact"/>
              <w:ind w:left="0"/>
              <w:jc w:val="center"/>
              <w:textAlignment w:val="baseline"/>
              <w:rPr>
                <w:rFonts w:hint="eastAsia" w:ascii="黑体" w:eastAsia="黑体" w:cs="Times New Roman"/>
                <w:vanish w:val="0"/>
                <w:kern w:val="2"/>
                <w:sz w:val="32"/>
                <w:szCs w:val="32"/>
                <w:vertAlign w:val="baseline"/>
              </w:rPr>
            </w:pPr>
            <w:r>
              <w:rPr>
                <w:rFonts w:hint="eastAsia" w:ascii="黑体" w:eastAsia="黑体" w:cs="Times New Roman"/>
                <w:vanish w:val="0"/>
                <w:kern w:val="2"/>
                <w:sz w:val="32"/>
                <w:szCs w:val="32"/>
                <w:vertAlign w:val="baseline"/>
              </w:rPr>
              <w:t>任务清单</w:t>
            </w:r>
          </w:p>
        </w:tc>
        <w:tc>
          <w:tcPr>
            <w:tcW w:w="175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560" w:lineRule="exact"/>
              <w:ind w:firstLine="0"/>
              <w:jc w:val="both"/>
              <w:textAlignment w:val="baseline"/>
              <w:rPr>
                <w:rFonts w:hint="eastAsia" w:ascii="黑体" w:eastAsia="黑体" w:cs="Times New Roman"/>
                <w:vanish w:val="0"/>
                <w:kern w:val="2"/>
                <w:sz w:val="32"/>
                <w:szCs w:val="32"/>
                <w:vertAlign w:val="baseline"/>
              </w:rPr>
            </w:pPr>
            <w:r>
              <w:rPr>
                <w:rFonts w:hint="eastAsia" w:ascii="黑体" w:eastAsia="黑体" w:cs="Times New Roman"/>
                <w:vanish w:val="0"/>
                <w:kern w:val="2"/>
                <w:sz w:val="32"/>
                <w:szCs w:val="32"/>
                <w:vertAlign w:val="baseline"/>
              </w:rPr>
              <w:t>责任单位</w:t>
            </w:r>
          </w:p>
        </w:tc>
        <w:tc>
          <w:tcPr>
            <w:tcW w:w="175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560" w:lineRule="exact"/>
              <w:ind w:firstLine="0"/>
              <w:jc w:val="both"/>
              <w:textAlignment w:val="baseline"/>
              <w:rPr>
                <w:rFonts w:hint="eastAsia" w:ascii="黑体" w:eastAsia="黑体" w:cs="Times New Roman"/>
                <w:vanish w:val="0"/>
                <w:kern w:val="2"/>
                <w:sz w:val="24"/>
                <w:szCs w:val="24"/>
                <w:vertAlign w:val="baseline"/>
              </w:rPr>
            </w:pPr>
            <w:r>
              <w:rPr>
                <w:rFonts w:hint="eastAsia" w:ascii="黑体" w:eastAsia="黑体" w:cs="Times New Roman"/>
                <w:vanish w:val="0"/>
                <w:kern w:val="2"/>
                <w:sz w:val="32"/>
                <w:szCs w:val="32"/>
                <w:vertAlign w:val="baseline"/>
              </w:rPr>
              <w:t>完成时限</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40" w:hRule="atLeast"/>
          <w:jc w:val="center"/>
          <w:hidden/>
        </w:trPr>
        <w:tc>
          <w:tcPr>
            <w:tcW w:w="1004" w:type="dxa"/>
            <w:tcBorders>
              <w:top w:val="single" w:color="auto" w:sz="4" w:space="0"/>
              <w:left w:val="single" w:color="auto" w:sz="4" w:space="0"/>
              <w:bottom w:val="single" w:color="auto" w:sz="4" w:space="0"/>
              <w:right w:val="single" w:color="auto" w:sz="4" w:space="0"/>
              <w:tl2br w:val="nil"/>
              <w:tr2bl w:val="nil"/>
            </w:tcBorders>
            <w:vAlign w:val="center"/>
          </w:tcPr>
          <w:p>
            <w:pPr>
              <w:pStyle w:val="16"/>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rPr>
                <w:rFonts w:hint="eastAsia" w:ascii="仿宋_GB2312" w:eastAsia="仿宋_GB2312" w:cs="Times New Roman"/>
                <w:vanish w:val="0"/>
                <w:kern w:val="44"/>
                <w:sz w:val="28"/>
                <w:szCs w:val="28"/>
              </w:rPr>
            </w:pPr>
            <w:r>
              <w:rPr>
                <w:rFonts w:hint="eastAsia" w:ascii="仿宋_GB2312" w:eastAsia="仿宋_GB2312" w:cs="Times New Roman"/>
                <w:vanish w:val="0"/>
                <w:kern w:val="44"/>
                <w:sz w:val="28"/>
                <w:szCs w:val="28"/>
              </w:rPr>
              <w:t>1</w:t>
            </w:r>
          </w:p>
        </w:tc>
        <w:tc>
          <w:tcPr>
            <w:tcW w:w="2649"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学生校外伤害综合整治存在薄弱环节</w:t>
            </w:r>
          </w:p>
        </w:tc>
        <w:tc>
          <w:tcPr>
            <w:tcW w:w="7942"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1.建立健全机制，加强多部门协调，强化家校社联动，共防共治，开展综合治理。</w:t>
            </w:r>
          </w:p>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2.规范义务教育阶段校外培训机构。现有学科类培训机构重新进行登记，一律登记为非营利性机构。推动行业主管部门加强对非学科类培训机构的监管。</w:t>
            </w:r>
          </w:p>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3.开展预防未成年人溺亡专项治理。</w:t>
            </w:r>
          </w:p>
        </w:tc>
        <w:tc>
          <w:tcPr>
            <w:tcW w:w="175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宣传文化旅游中心</w:t>
            </w:r>
          </w:p>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玉泉中心校</w:t>
            </w:r>
          </w:p>
        </w:tc>
        <w:tc>
          <w:tcPr>
            <w:tcW w:w="175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长期坚持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15" w:hRule="atLeast"/>
          <w:jc w:val="center"/>
          <w:hidden/>
        </w:trPr>
        <w:tc>
          <w:tcPr>
            <w:tcW w:w="1004" w:type="dxa"/>
            <w:tcBorders>
              <w:top w:val="single" w:color="auto" w:sz="4" w:space="0"/>
              <w:left w:val="single" w:color="auto" w:sz="4" w:space="0"/>
              <w:bottom w:val="single" w:color="auto" w:sz="4" w:space="0"/>
              <w:right w:val="single" w:color="auto" w:sz="4" w:space="0"/>
              <w:tl2br w:val="nil"/>
              <w:tr2bl w:val="nil"/>
            </w:tcBorders>
            <w:vAlign w:val="center"/>
          </w:tcPr>
          <w:p>
            <w:pPr>
              <w:pStyle w:val="16"/>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rPr>
                <w:rFonts w:hint="eastAsia" w:ascii="仿宋_GB2312" w:eastAsia="仿宋_GB2312" w:cs="Times New Roman"/>
                <w:vanish w:val="0"/>
                <w:kern w:val="44"/>
                <w:sz w:val="28"/>
                <w:szCs w:val="28"/>
              </w:rPr>
            </w:pPr>
            <w:r>
              <w:rPr>
                <w:rFonts w:hint="eastAsia" w:ascii="仿宋_GB2312" w:eastAsia="仿宋_GB2312" w:cs="Times New Roman"/>
                <w:vanish w:val="0"/>
                <w:kern w:val="44"/>
                <w:sz w:val="28"/>
                <w:szCs w:val="28"/>
              </w:rPr>
              <w:t>2</w:t>
            </w:r>
          </w:p>
        </w:tc>
        <w:tc>
          <w:tcPr>
            <w:tcW w:w="2649"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基础性安全工作需要持续加强</w:t>
            </w:r>
          </w:p>
        </w:tc>
        <w:tc>
          <w:tcPr>
            <w:tcW w:w="7942" w:type="dxa"/>
            <w:tcBorders>
              <w:top w:val="single" w:color="auto" w:sz="4" w:space="0"/>
              <w:left w:val="nil"/>
              <w:bottom w:val="single" w:color="auto" w:sz="4" w:space="0"/>
              <w:right w:val="single" w:color="auto" w:sz="4" w:space="0"/>
              <w:tl2br w:val="nil"/>
              <w:tr2bl w:val="nil"/>
            </w:tcBorders>
            <w:vAlign w:val="center"/>
          </w:tcPr>
          <w:p>
            <w:pPr>
              <w:keepLines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firstLine="0"/>
              <w:jc w:val="left"/>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推进消防安全标准化管理。</w:t>
            </w:r>
          </w:p>
          <w:p>
            <w:pPr>
              <w:keepLines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leftChars="0" w:firstLine="0"/>
              <w:jc w:val="left"/>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加强实验室危险化学品安全管理。</w:t>
            </w:r>
            <w:r>
              <w:rPr>
                <w:rFonts w:hint="eastAsia" w:ascii="仿宋_GB2312" w:eastAsia="仿宋_GB2312" w:cs="Times New Roman"/>
                <w:vanish w:val="0"/>
                <w:kern w:val="2"/>
                <w:sz w:val="28"/>
                <w:szCs w:val="28"/>
                <w:vertAlign w:val="baseline"/>
              </w:rPr>
              <w:tab/>
            </w:r>
          </w:p>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3.开展校车交通安全专项整治。</w:t>
            </w:r>
          </w:p>
        </w:tc>
        <w:tc>
          <w:tcPr>
            <w:tcW w:w="175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宣传文化旅游中心</w:t>
            </w:r>
          </w:p>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玉泉中心校</w:t>
            </w:r>
          </w:p>
        </w:tc>
        <w:tc>
          <w:tcPr>
            <w:tcW w:w="175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长期坚持</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60" w:lineRule="exact"/>
        <w:rPr>
          <w:rFonts w:hint="eastAsia" w:ascii="仿宋_GB2312" w:eastAsia="仿宋_GB2312"/>
          <w:vanish w:val="0"/>
          <w:kern w:val="2"/>
          <w:sz w:val="28"/>
          <w:szCs w:val="28"/>
        </w:rPr>
      </w:pPr>
    </w:p>
    <w:p>
      <w:pPr>
        <w:pBdr>
          <w:top w:val="none" w:color="auto" w:sz="0" w:space="0"/>
          <w:left w:val="none" w:color="auto" w:sz="0" w:space="0"/>
          <w:bottom w:val="none" w:color="auto" w:sz="0" w:space="0"/>
          <w:right w:val="none" w:color="auto" w:sz="0" w:space="0"/>
        </w:pBdr>
        <w:spacing w:line="560" w:lineRule="exact"/>
        <w:jc w:val="center"/>
        <w:textAlignment w:val="baseline"/>
        <w:rPr>
          <w:rFonts w:hint="eastAsia" w:ascii="黑体" w:eastAsia="黑体"/>
          <w:vanish w:val="0"/>
          <w:kern w:val="2"/>
          <w:sz w:val="44"/>
          <w:szCs w:val="44"/>
          <w:vertAlign w:val="baseline"/>
        </w:rPr>
      </w:pPr>
    </w:p>
    <w:p>
      <w:pPr>
        <w:pBdr>
          <w:top w:val="none" w:color="auto" w:sz="0" w:space="0"/>
          <w:left w:val="none" w:color="auto" w:sz="0" w:space="0"/>
          <w:bottom w:val="none" w:color="auto" w:sz="0" w:space="0"/>
          <w:right w:val="none" w:color="auto" w:sz="0" w:space="0"/>
        </w:pBdr>
        <w:spacing w:line="560" w:lineRule="exact"/>
        <w:jc w:val="center"/>
        <w:textAlignment w:val="baseline"/>
        <w:rPr>
          <w:rFonts w:hint="eastAsia" w:ascii="黑体" w:eastAsia="黑体"/>
          <w:vanish w:val="0"/>
          <w:kern w:val="2"/>
          <w:sz w:val="44"/>
          <w:szCs w:val="44"/>
          <w:vertAlign w:val="baseline"/>
        </w:rPr>
      </w:pPr>
    </w:p>
    <w:p>
      <w:pPr>
        <w:pBdr>
          <w:top w:val="none" w:color="auto" w:sz="0" w:space="0"/>
          <w:left w:val="none" w:color="auto" w:sz="0" w:space="0"/>
          <w:bottom w:val="none" w:color="auto" w:sz="0" w:space="0"/>
          <w:right w:val="none" w:color="auto" w:sz="0" w:space="0"/>
        </w:pBdr>
        <w:spacing w:line="560" w:lineRule="exact"/>
        <w:jc w:val="center"/>
        <w:textAlignment w:val="baseline"/>
        <w:rPr>
          <w:rFonts w:hint="eastAsia" w:ascii="方正小标宋简体" w:hAnsi="方正小标宋简体" w:eastAsia="方正小标宋简体" w:cs="方正小标宋简体"/>
          <w:vanish w:val="0"/>
          <w:kern w:val="2"/>
          <w:sz w:val="44"/>
          <w:szCs w:val="44"/>
          <w:vertAlign w:val="baseline"/>
        </w:rPr>
      </w:pPr>
      <w:r>
        <w:rPr>
          <w:rFonts w:hint="eastAsia" w:ascii="方正小标宋简体" w:hAnsi="方正小标宋简体" w:eastAsia="方正小标宋简体" w:cs="方正小标宋简体"/>
          <w:vanish w:val="0"/>
          <w:kern w:val="2"/>
          <w:sz w:val="44"/>
          <w:szCs w:val="44"/>
          <w:vertAlign w:val="baseline"/>
        </w:rPr>
        <w:t>城乡建设安全专项整治三年行动巩固提升阶段“三个清单”</w:t>
      </w:r>
    </w:p>
    <w:p>
      <w:pPr>
        <w:pStyle w:val="4"/>
        <w:rPr>
          <w:rFonts w:ascii="Times New Roman" w:hAnsi="Times New Roman" w:eastAsia="方正小标宋_GBK"/>
          <w:kern w:val="44"/>
          <w:sz w:val="44"/>
          <w:szCs w:val="44"/>
        </w:rPr>
      </w:pPr>
    </w:p>
    <w:tbl>
      <w:tblPr>
        <w:tblStyle w:val="17"/>
        <w:tblW w:w="1510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1004"/>
        <w:gridCol w:w="3459"/>
        <w:gridCol w:w="7132"/>
        <w:gridCol w:w="1755"/>
        <w:gridCol w:w="175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8" w:hRule="atLeast"/>
          <w:jc w:val="center"/>
          <w:hidden/>
        </w:trPr>
        <w:tc>
          <w:tcPr>
            <w:tcW w:w="1004"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560" w:lineRule="exact"/>
              <w:ind w:firstLine="0"/>
              <w:jc w:val="both"/>
              <w:textAlignment w:val="baseline"/>
              <w:rPr>
                <w:rFonts w:hint="eastAsia" w:ascii="仿宋" w:eastAsia="仿宋" w:cs="楷体_GB2312"/>
                <w:vanish w:val="0"/>
                <w:kern w:val="2"/>
                <w:sz w:val="32"/>
                <w:szCs w:val="32"/>
                <w:vertAlign w:val="baseline"/>
              </w:rPr>
            </w:pPr>
            <w:r>
              <w:rPr>
                <w:rFonts w:hint="eastAsia" w:ascii="仿宋" w:eastAsia="仿宋" w:cs="楷体_GB2312"/>
                <w:vanish w:val="0"/>
                <w:kern w:val="2"/>
                <w:sz w:val="32"/>
                <w:szCs w:val="32"/>
                <w:vertAlign w:val="baseline"/>
              </w:rPr>
              <w:t>序号</w:t>
            </w:r>
          </w:p>
        </w:tc>
        <w:tc>
          <w:tcPr>
            <w:tcW w:w="3459"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560" w:lineRule="exact"/>
              <w:ind w:left="0"/>
              <w:jc w:val="center"/>
              <w:textAlignment w:val="baseline"/>
              <w:rPr>
                <w:rFonts w:hint="eastAsia" w:ascii="黑体" w:eastAsia="黑体" w:cs="Times New Roman"/>
                <w:vanish w:val="0"/>
                <w:kern w:val="2"/>
                <w:sz w:val="32"/>
                <w:szCs w:val="32"/>
                <w:vertAlign w:val="baseline"/>
              </w:rPr>
            </w:pPr>
            <w:r>
              <w:rPr>
                <w:rFonts w:hint="eastAsia" w:ascii="黑体" w:eastAsia="黑体" w:cs="Times New Roman"/>
                <w:vanish w:val="0"/>
                <w:kern w:val="2"/>
                <w:sz w:val="32"/>
                <w:szCs w:val="32"/>
                <w:vertAlign w:val="baseline"/>
              </w:rPr>
              <w:t>问题清单</w:t>
            </w:r>
          </w:p>
        </w:tc>
        <w:tc>
          <w:tcPr>
            <w:tcW w:w="7132"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560" w:lineRule="exact"/>
              <w:ind w:left="0"/>
              <w:jc w:val="center"/>
              <w:textAlignment w:val="baseline"/>
              <w:rPr>
                <w:rFonts w:hint="eastAsia" w:ascii="黑体" w:eastAsia="黑体" w:cs="Times New Roman"/>
                <w:vanish w:val="0"/>
                <w:kern w:val="2"/>
                <w:sz w:val="32"/>
                <w:szCs w:val="32"/>
                <w:vertAlign w:val="baseline"/>
              </w:rPr>
            </w:pPr>
            <w:r>
              <w:rPr>
                <w:rFonts w:hint="eastAsia" w:ascii="黑体" w:eastAsia="黑体" w:cs="Times New Roman"/>
                <w:vanish w:val="0"/>
                <w:kern w:val="2"/>
                <w:sz w:val="32"/>
                <w:szCs w:val="32"/>
                <w:vertAlign w:val="baseline"/>
              </w:rPr>
              <w:t>任务清单</w:t>
            </w:r>
          </w:p>
        </w:tc>
        <w:tc>
          <w:tcPr>
            <w:tcW w:w="175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560" w:lineRule="exact"/>
              <w:ind w:firstLine="0"/>
              <w:jc w:val="both"/>
              <w:textAlignment w:val="baseline"/>
              <w:rPr>
                <w:rFonts w:hint="eastAsia" w:ascii="黑体" w:eastAsia="黑体" w:cs="Times New Roman"/>
                <w:vanish w:val="0"/>
                <w:kern w:val="2"/>
                <w:sz w:val="32"/>
                <w:szCs w:val="32"/>
                <w:vertAlign w:val="baseline"/>
              </w:rPr>
            </w:pPr>
            <w:r>
              <w:rPr>
                <w:rFonts w:hint="eastAsia" w:ascii="黑体" w:eastAsia="黑体" w:cs="Times New Roman"/>
                <w:vanish w:val="0"/>
                <w:kern w:val="2"/>
                <w:sz w:val="32"/>
                <w:szCs w:val="32"/>
                <w:vertAlign w:val="baseline"/>
              </w:rPr>
              <w:t>责任单位</w:t>
            </w:r>
          </w:p>
        </w:tc>
        <w:tc>
          <w:tcPr>
            <w:tcW w:w="175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560" w:lineRule="exact"/>
              <w:ind w:firstLine="0"/>
              <w:jc w:val="both"/>
              <w:textAlignment w:val="baseline"/>
              <w:rPr>
                <w:rFonts w:hint="eastAsia" w:ascii="黑体" w:eastAsia="黑体" w:cs="Times New Roman"/>
                <w:vanish w:val="0"/>
                <w:kern w:val="2"/>
                <w:sz w:val="24"/>
                <w:szCs w:val="24"/>
                <w:vertAlign w:val="baseline"/>
              </w:rPr>
            </w:pPr>
            <w:r>
              <w:rPr>
                <w:rFonts w:hint="eastAsia" w:ascii="黑体" w:eastAsia="黑体" w:cs="Times New Roman"/>
                <w:vanish w:val="0"/>
                <w:kern w:val="2"/>
                <w:sz w:val="32"/>
                <w:szCs w:val="32"/>
                <w:vertAlign w:val="baseline"/>
              </w:rPr>
              <w:t>完成时限</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57" w:hRule="atLeast"/>
          <w:jc w:val="center"/>
          <w:hidden/>
        </w:trPr>
        <w:tc>
          <w:tcPr>
            <w:tcW w:w="1004" w:type="dxa"/>
            <w:tcBorders>
              <w:top w:val="single" w:color="auto" w:sz="4" w:space="0"/>
              <w:left w:val="single" w:color="auto" w:sz="4" w:space="0"/>
              <w:bottom w:val="single" w:color="auto" w:sz="4" w:space="0"/>
              <w:right w:val="single" w:color="auto" w:sz="4" w:space="0"/>
              <w:tl2br w:val="nil"/>
              <w:tr2bl w:val="nil"/>
            </w:tcBorders>
            <w:vAlign w:val="center"/>
          </w:tcPr>
          <w:p>
            <w:pPr>
              <w:pStyle w:val="16"/>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both"/>
              <w:rPr>
                <w:rFonts w:hint="eastAsia" w:ascii="仿宋_GB2312" w:eastAsia="仿宋_GB2312" w:cs="Times New Roman"/>
                <w:vanish w:val="0"/>
                <w:kern w:val="44"/>
                <w:sz w:val="28"/>
                <w:szCs w:val="28"/>
              </w:rPr>
            </w:pPr>
            <w:r>
              <w:rPr>
                <w:rFonts w:hint="eastAsia" w:ascii="仿宋_GB2312" w:eastAsia="仿宋_GB2312" w:cs="Times New Roman"/>
                <w:vanish w:val="0"/>
                <w:kern w:val="44"/>
                <w:sz w:val="28"/>
                <w:szCs w:val="28"/>
              </w:rPr>
              <w:t>1</w:t>
            </w:r>
          </w:p>
        </w:tc>
        <w:tc>
          <w:tcPr>
            <w:tcW w:w="3459"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房屋建筑施工建设安全管理方面：施工转包，违法分包、违法发包程、挂靠资质、未取得施工许可证擅自开工等建筑违法违规行为依然存在；双重预防体系建设质量不高。</w:t>
            </w:r>
          </w:p>
        </w:tc>
        <w:tc>
          <w:tcPr>
            <w:tcW w:w="7132"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1.持续深化建筑施工行业双重预防体系建设，推动房屋市政建筑施工安全双重预防体系建设工作由全覆盖向高质量高水平运行转变。</w:t>
            </w:r>
            <w:r>
              <w:rPr>
                <w:rFonts w:hint="eastAsia" w:ascii="仿宋_GB2312" w:eastAsia="仿宋_GB2312" w:cs="Times New Roman"/>
                <w:vanish w:val="0"/>
                <w:kern w:val="2"/>
                <w:sz w:val="28"/>
                <w:szCs w:val="28"/>
                <w:vertAlign w:val="baseline"/>
              </w:rPr>
              <w:br w:type="textWrapping"/>
            </w:r>
            <w:r>
              <w:rPr>
                <w:rFonts w:hint="eastAsia" w:ascii="仿宋_GB2312" w:eastAsia="仿宋_GB2312" w:cs="Times New Roman"/>
                <w:vanish w:val="0"/>
                <w:kern w:val="2"/>
                <w:sz w:val="28"/>
                <w:szCs w:val="28"/>
                <w:vertAlign w:val="baseline"/>
              </w:rPr>
              <w:t>2.严厉打击建筑施工违法发包、转包、挂靠、违法分包等违法行为。完善落实执法联动机制，提高监督检查效果。</w:t>
            </w:r>
          </w:p>
        </w:tc>
        <w:tc>
          <w:tcPr>
            <w:tcW w:w="175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自然资源规划中心</w:t>
            </w:r>
          </w:p>
        </w:tc>
        <w:tc>
          <w:tcPr>
            <w:tcW w:w="175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2022年底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64" w:hRule="atLeast"/>
          <w:jc w:val="center"/>
          <w:hidden/>
        </w:trPr>
        <w:tc>
          <w:tcPr>
            <w:tcW w:w="1004" w:type="dxa"/>
            <w:tcBorders>
              <w:top w:val="single" w:color="auto" w:sz="4" w:space="0"/>
              <w:left w:val="single" w:color="auto" w:sz="4" w:space="0"/>
              <w:bottom w:val="single" w:color="auto" w:sz="4" w:space="0"/>
              <w:right w:val="single" w:color="auto" w:sz="4" w:space="0"/>
              <w:tl2br w:val="nil"/>
              <w:tr2bl w:val="nil"/>
            </w:tcBorders>
            <w:vAlign w:val="center"/>
          </w:tcPr>
          <w:p>
            <w:pPr>
              <w:pStyle w:val="16"/>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rPr>
                <w:rFonts w:hint="eastAsia" w:ascii="仿宋_GB2312" w:eastAsia="仿宋_GB2312" w:cs="Times New Roman"/>
                <w:vanish w:val="0"/>
                <w:kern w:val="44"/>
                <w:sz w:val="28"/>
                <w:szCs w:val="28"/>
              </w:rPr>
            </w:pPr>
            <w:r>
              <w:rPr>
                <w:rFonts w:hint="eastAsia" w:ascii="仿宋_GB2312" w:eastAsia="仿宋_GB2312" w:cs="Times New Roman"/>
                <w:vanish w:val="0"/>
                <w:kern w:val="44"/>
                <w:sz w:val="28"/>
                <w:szCs w:val="28"/>
              </w:rPr>
              <w:t>2</w:t>
            </w:r>
          </w:p>
        </w:tc>
        <w:tc>
          <w:tcPr>
            <w:tcW w:w="3459"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城镇燃气运行安全管理方面:部分管道严重老化，存在运行安全风险;安全管理工作规范化、制度化程度普遍较低。</w:t>
            </w:r>
          </w:p>
        </w:tc>
        <w:tc>
          <w:tcPr>
            <w:tcW w:w="7132" w:type="dxa"/>
            <w:tcBorders>
              <w:top w:val="single" w:color="auto" w:sz="4" w:space="0"/>
              <w:left w:val="nil"/>
              <w:bottom w:val="single" w:color="auto" w:sz="4" w:space="0"/>
              <w:right w:val="single" w:color="auto" w:sz="4" w:space="0"/>
              <w:tl2br w:val="nil"/>
              <w:tr2bl w:val="nil"/>
            </w:tcBorders>
            <w:vAlign w:val="center"/>
          </w:tcPr>
          <w:p>
            <w:pPr>
              <w:keepLines w:val="0"/>
              <w:widowControl w:val="0"/>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leftChars="0"/>
              <w:jc w:val="left"/>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扎实开展燃气安全隐患专项排查整治，统一排查整改标准，</w:t>
            </w:r>
          </w:p>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2.加强瓶装液化气安全管理。强化协调配合，提升瓶装气安全管理水平。</w:t>
            </w:r>
          </w:p>
        </w:tc>
        <w:tc>
          <w:tcPr>
            <w:tcW w:w="175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自然资源规划中心</w:t>
            </w:r>
          </w:p>
        </w:tc>
        <w:tc>
          <w:tcPr>
            <w:tcW w:w="175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2022年底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63" w:hRule="atLeast"/>
          <w:jc w:val="center"/>
          <w:hidden/>
        </w:trPr>
        <w:tc>
          <w:tcPr>
            <w:tcW w:w="1004" w:type="dxa"/>
            <w:tcBorders>
              <w:top w:val="single" w:color="auto" w:sz="4" w:space="0"/>
              <w:left w:val="single" w:color="auto" w:sz="4" w:space="0"/>
              <w:bottom w:val="single" w:color="auto" w:sz="4" w:space="0"/>
              <w:right w:val="single" w:color="auto" w:sz="4" w:space="0"/>
              <w:tl2br w:val="nil"/>
              <w:tr2bl w:val="nil"/>
            </w:tcBorders>
            <w:vAlign w:val="center"/>
          </w:tcPr>
          <w:p>
            <w:pPr>
              <w:pStyle w:val="16"/>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rPr>
                <w:rFonts w:hint="eastAsia" w:ascii="仿宋_GB2312" w:eastAsia="仿宋_GB2312" w:cs="Times New Roman"/>
                <w:vanish w:val="0"/>
                <w:kern w:val="44"/>
                <w:sz w:val="28"/>
                <w:szCs w:val="28"/>
              </w:rPr>
            </w:pPr>
            <w:r>
              <w:rPr>
                <w:rFonts w:hint="eastAsia" w:ascii="仿宋_GB2312" w:eastAsia="仿宋_GB2312" w:cs="Times New Roman"/>
                <w:vanish w:val="0"/>
                <w:kern w:val="44"/>
                <w:sz w:val="28"/>
                <w:szCs w:val="28"/>
              </w:rPr>
              <w:t>3</w:t>
            </w:r>
          </w:p>
        </w:tc>
        <w:tc>
          <w:tcPr>
            <w:tcW w:w="3459"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地下空间建设运行安全管理方面:地下基础设施安全管理不健全，地下空间防灾减灾能力不强</w:t>
            </w:r>
            <w:r>
              <w:rPr>
                <w:rFonts w:ascii="仿宋_GB2312" w:eastAsia="仿宋_GB2312" w:cs="Times New Roman"/>
                <w:vanish w:val="0"/>
                <w:kern w:val="2"/>
                <w:sz w:val="28"/>
                <w:szCs w:val="28"/>
                <w:vertAlign w:val="baseline"/>
              </w:rPr>
              <w:t>。</w:t>
            </w:r>
          </w:p>
        </w:tc>
        <w:tc>
          <w:tcPr>
            <w:tcW w:w="7132" w:type="dxa"/>
            <w:tcBorders>
              <w:top w:val="single" w:color="auto" w:sz="4" w:space="0"/>
              <w:left w:val="nil"/>
              <w:bottom w:val="single" w:color="auto" w:sz="4" w:space="0"/>
              <w:right w:val="single" w:color="auto" w:sz="4" w:space="0"/>
              <w:tl2br w:val="nil"/>
              <w:tr2bl w:val="nil"/>
            </w:tcBorders>
            <w:vAlign w:val="center"/>
          </w:tcPr>
          <w:p>
            <w:pPr>
              <w:keepLines w:val="0"/>
              <w:widowControl w:val="0"/>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leftChars="0"/>
              <w:jc w:val="left"/>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开展城市地下市政基础设施普查。组织开展地下市政基础设施普查，摸清底数，掌握存在的安全隐患风险点并限期消除。</w:t>
            </w:r>
          </w:p>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2.加强城市公用设施地下空间运维作业安全管理。组织开展地下有限空间运维作业培训和安全隐患排查整治。</w:t>
            </w:r>
          </w:p>
        </w:tc>
        <w:tc>
          <w:tcPr>
            <w:tcW w:w="175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自然资源规划中心</w:t>
            </w:r>
          </w:p>
        </w:tc>
        <w:tc>
          <w:tcPr>
            <w:tcW w:w="175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2022年底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968" w:hRule="atLeast"/>
          <w:jc w:val="center"/>
          <w:hidden/>
        </w:trPr>
        <w:tc>
          <w:tcPr>
            <w:tcW w:w="1004" w:type="dxa"/>
            <w:tcBorders>
              <w:top w:val="single" w:color="auto" w:sz="4" w:space="0"/>
              <w:left w:val="single" w:color="auto" w:sz="4" w:space="0"/>
              <w:bottom w:val="single" w:color="auto" w:sz="4" w:space="0"/>
              <w:right w:val="single" w:color="auto" w:sz="4" w:space="0"/>
              <w:tl2br w:val="nil"/>
              <w:tr2bl w:val="nil"/>
            </w:tcBorders>
            <w:vAlign w:val="center"/>
          </w:tcPr>
          <w:p>
            <w:pPr>
              <w:pStyle w:val="16"/>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rPr>
                <w:rFonts w:hint="eastAsia" w:ascii="仿宋_GB2312" w:eastAsia="仿宋_GB2312" w:cs="Times New Roman"/>
                <w:vanish w:val="0"/>
                <w:kern w:val="44"/>
                <w:sz w:val="28"/>
                <w:szCs w:val="28"/>
              </w:rPr>
            </w:pPr>
            <w:r>
              <w:rPr>
                <w:rFonts w:hint="eastAsia" w:ascii="仿宋_GB2312" w:eastAsia="仿宋_GB2312" w:cs="Times New Roman"/>
                <w:vanish w:val="0"/>
                <w:kern w:val="44"/>
                <w:sz w:val="28"/>
                <w:szCs w:val="28"/>
              </w:rPr>
              <w:t>4</w:t>
            </w:r>
          </w:p>
        </w:tc>
        <w:tc>
          <w:tcPr>
            <w:tcW w:w="3459"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城镇房屋安全隐患排查整治方面:部分房屋建筑建造年代较早、长期失修，存在安全隐患。部分物业管理区域存在消防安全隐患。</w:t>
            </w:r>
          </w:p>
        </w:tc>
        <w:tc>
          <w:tcPr>
            <w:tcW w:w="7132" w:type="dxa"/>
            <w:tcBorders>
              <w:top w:val="single" w:color="auto" w:sz="4" w:space="0"/>
              <w:left w:val="nil"/>
              <w:bottom w:val="single" w:color="auto" w:sz="4" w:space="0"/>
              <w:right w:val="single" w:color="auto" w:sz="4" w:space="0"/>
              <w:tl2br w:val="nil"/>
              <w:tr2bl w:val="nil"/>
            </w:tcBorders>
            <w:vAlign w:val="center"/>
          </w:tcPr>
          <w:p>
            <w:pPr>
              <w:keepLines w:val="0"/>
              <w:widowControl w:val="0"/>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leftChars="0"/>
              <w:jc w:val="left"/>
              <w:textAlignment w:val="baseline"/>
              <w:rPr>
                <w:rFonts w:hint="eastAsia" w:ascii="仿宋_GB2312" w:eastAsia="仿宋_GB2312" w:cs="Times New Roman"/>
                <w:vanish w:val="0"/>
                <w:kern w:val="44"/>
                <w:sz w:val="28"/>
                <w:szCs w:val="28"/>
                <w:vertAlign w:val="baseline"/>
              </w:rPr>
            </w:pPr>
            <w:r>
              <w:rPr>
                <w:rFonts w:hint="eastAsia" w:ascii="仿宋_GB2312" w:eastAsia="仿宋_GB2312" w:cs="Times New Roman"/>
                <w:vanish w:val="0"/>
                <w:kern w:val="44"/>
                <w:sz w:val="28"/>
                <w:szCs w:val="28"/>
                <w:vertAlign w:val="baseline"/>
              </w:rPr>
              <w:t>持续做好城镇房屋安全隐患排查整治工作。结合全国自然灾害综合风险普查房屋建造和居民自建房安全隐患排查工作，开展房屋建造安全隐患排查整治。</w:t>
            </w:r>
          </w:p>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left"/>
              <w:textAlignment w:val="baseline"/>
              <w:rPr>
                <w:rFonts w:hint="eastAsia" w:ascii="仿宋_GB2312" w:eastAsia="仿宋_GB2312" w:cs="Times New Roman"/>
                <w:vanish w:val="0"/>
                <w:kern w:val="44"/>
                <w:sz w:val="28"/>
                <w:szCs w:val="28"/>
                <w:vertAlign w:val="baseline"/>
              </w:rPr>
            </w:pPr>
            <w:r>
              <w:rPr>
                <w:rFonts w:hint="eastAsia" w:ascii="仿宋_GB2312" w:eastAsia="仿宋_GB2312" w:cs="Times New Roman"/>
                <w:vanish w:val="0"/>
                <w:kern w:val="44"/>
                <w:sz w:val="28"/>
                <w:szCs w:val="28"/>
                <w:vertAlign w:val="baseline"/>
              </w:rPr>
              <w:t>2.组织开展物业管理区域安全隐患专项整治。</w:t>
            </w:r>
            <w:r>
              <w:rPr>
                <w:rFonts w:hint="eastAsia" w:ascii="仿宋_GB2312" w:eastAsia="仿宋_GB2312" w:cs="Times New Roman"/>
                <w:vanish w:val="0"/>
                <w:kern w:val="44"/>
                <w:sz w:val="28"/>
                <w:szCs w:val="28"/>
                <w:vertAlign w:val="baseline"/>
              </w:rPr>
              <w:br w:type="textWrapping"/>
            </w:r>
            <w:r>
              <w:rPr>
                <w:rFonts w:hint="eastAsia" w:ascii="仿宋_GB2312" w:eastAsia="仿宋_GB2312" w:cs="Times New Roman"/>
                <w:vanish w:val="0"/>
                <w:kern w:val="44"/>
                <w:sz w:val="28"/>
                <w:szCs w:val="28"/>
                <w:vertAlign w:val="baseline"/>
              </w:rPr>
              <w:t>3.重点整治未依法取得建设工程规划许可证、临时建设工程规划许可证或未按照许可内容进行建设的城镇建设工程，以及逾期未拆除的城镇临时建设工程。</w:t>
            </w:r>
            <w:r>
              <w:rPr>
                <w:rFonts w:hint="eastAsia" w:ascii="仿宋_GB2312" w:eastAsia="仿宋_GB2312" w:cs="Times New Roman"/>
                <w:vanish w:val="0"/>
                <w:kern w:val="44"/>
                <w:sz w:val="28"/>
                <w:szCs w:val="28"/>
                <w:vertAlign w:val="baseline"/>
              </w:rPr>
              <w:br w:type="textWrapping"/>
            </w:r>
            <w:r>
              <w:rPr>
                <w:rFonts w:hint="eastAsia" w:ascii="仿宋_GB2312" w:eastAsia="仿宋_GB2312" w:cs="Times New Roman"/>
                <w:vanish w:val="0"/>
                <w:kern w:val="44"/>
                <w:sz w:val="28"/>
                <w:szCs w:val="28"/>
                <w:vertAlign w:val="baseline"/>
              </w:rPr>
              <w:t>4.配合开展专项整治行动，依法严厉打击违法违规用地行为，特别是造成安全隐患的土地违法违规建设行为。</w:t>
            </w:r>
          </w:p>
        </w:tc>
        <w:tc>
          <w:tcPr>
            <w:tcW w:w="175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自然资源规划中心</w:t>
            </w:r>
          </w:p>
        </w:tc>
        <w:tc>
          <w:tcPr>
            <w:tcW w:w="175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2022年底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204" w:hRule="atLeast"/>
          <w:jc w:val="center"/>
          <w:hidden/>
        </w:trPr>
        <w:tc>
          <w:tcPr>
            <w:tcW w:w="1004" w:type="dxa"/>
            <w:tcBorders>
              <w:top w:val="single" w:color="auto" w:sz="4" w:space="0"/>
              <w:left w:val="single" w:color="auto" w:sz="4" w:space="0"/>
              <w:bottom w:val="single" w:color="auto" w:sz="4" w:space="0"/>
              <w:right w:val="single" w:color="auto" w:sz="4" w:space="0"/>
              <w:tl2br w:val="nil"/>
              <w:tr2bl w:val="nil"/>
            </w:tcBorders>
            <w:vAlign w:val="center"/>
          </w:tcPr>
          <w:p>
            <w:pPr>
              <w:pStyle w:val="16"/>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center"/>
              <w:rPr>
                <w:rFonts w:hint="eastAsia" w:ascii="仿宋_GB2312" w:eastAsia="仿宋_GB2312" w:cs="Times New Roman"/>
                <w:vanish w:val="0"/>
                <w:kern w:val="44"/>
                <w:sz w:val="28"/>
                <w:szCs w:val="28"/>
              </w:rPr>
            </w:pPr>
            <w:r>
              <w:rPr>
                <w:rFonts w:hint="eastAsia" w:ascii="仿宋_GB2312" w:eastAsia="仿宋_GB2312" w:cs="Times New Roman"/>
                <w:vanish w:val="0"/>
                <w:kern w:val="44"/>
                <w:sz w:val="28"/>
                <w:szCs w:val="28"/>
              </w:rPr>
              <w:t>5</w:t>
            </w:r>
          </w:p>
        </w:tc>
        <w:tc>
          <w:tcPr>
            <w:tcW w:w="3459"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农村住房建设安全管理方面:农村既有房屋建设水平低，农房抗震设防标准低，部分存在安全隐患。</w:t>
            </w:r>
          </w:p>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left="0"/>
              <w:jc w:val="both"/>
              <w:textAlignment w:val="baseline"/>
              <w:rPr>
                <w:rFonts w:hint="eastAsia" w:ascii="仿宋_GB2312" w:eastAsia="仿宋_GB2312" w:cs="Times New Roman"/>
                <w:vanish w:val="0"/>
                <w:kern w:val="2"/>
                <w:sz w:val="28"/>
                <w:szCs w:val="28"/>
                <w:vertAlign w:val="baseline"/>
              </w:rPr>
            </w:pPr>
          </w:p>
        </w:tc>
        <w:tc>
          <w:tcPr>
            <w:tcW w:w="7132"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1.持续做好农村房屋安全隐患排查整治工作。加大农村房屋安全隐患排查整治工作督导力度，加快推进农村未用作经营自建房的鉴定整治，确保按时完成排查整治任务。</w:t>
            </w:r>
            <w:r>
              <w:rPr>
                <w:rFonts w:hint="eastAsia" w:ascii="仿宋_GB2312" w:eastAsia="仿宋_GB2312" w:cs="Times New Roman"/>
                <w:vanish w:val="0"/>
                <w:kern w:val="2"/>
                <w:sz w:val="28"/>
                <w:szCs w:val="28"/>
                <w:vertAlign w:val="baseline"/>
              </w:rPr>
              <w:br w:type="textWrapping"/>
            </w:r>
            <w:r>
              <w:rPr>
                <w:rFonts w:hint="eastAsia" w:ascii="仿宋_GB2312" w:eastAsia="仿宋_GB2312" w:cs="Times New Roman"/>
                <w:vanish w:val="0"/>
                <w:kern w:val="2"/>
                <w:sz w:val="28"/>
                <w:szCs w:val="28"/>
                <w:vertAlign w:val="baseline"/>
              </w:rPr>
              <w:t>2.持续开展农村危房改造和抗震改造。进一步加强对农村低收入群体等重点对象住房日常检测和动态管理，及时将返危和新发生危房纳入危房改造。</w:t>
            </w:r>
          </w:p>
        </w:tc>
        <w:tc>
          <w:tcPr>
            <w:tcW w:w="175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自然资源规划中心</w:t>
            </w:r>
          </w:p>
        </w:tc>
        <w:tc>
          <w:tcPr>
            <w:tcW w:w="1755"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spacing w:after="0" w:afterAutospacing="0" w:line="360" w:lineRule="exact"/>
              <w:ind w:firstLine="0"/>
              <w:jc w:val="both"/>
              <w:textAlignment w:val="baseline"/>
              <w:rPr>
                <w:rFonts w:hint="eastAsia" w:ascii="仿宋_GB2312" w:eastAsia="仿宋_GB2312" w:cs="Times New Roman"/>
                <w:vanish w:val="0"/>
                <w:kern w:val="2"/>
                <w:sz w:val="28"/>
                <w:szCs w:val="28"/>
                <w:vertAlign w:val="baseline"/>
              </w:rPr>
            </w:pPr>
            <w:r>
              <w:rPr>
                <w:rFonts w:hint="eastAsia" w:ascii="仿宋_GB2312" w:eastAsia="仿宋_GB2312" w:cs="Times New Roman"/>
                <w:vanish w:val="0"/>
                <w:kern w:val="2"/>
                <w:sz w:val="28"/>
                <w:szCs w:val="28"/>
                <w:vertAlign w:val="baseline"/>
              </w:rPr>
              <w:t>2022年底</w:t>
            </w:r>
          </w:p>
        </w:tc>
      </w:tr>
    </w:tbl>
    <w:p>
      <w:pPr>
        <w:rPr>
          <w:rFonts w:hint="eastAsia" w:ascii="Calibri" w:hAnsi="Calibri" w:eastAsia="宋体" w:cs="Times New Roman"/>
          <w:kern w:val="2"/>
          <w:sz w:val="21"/>
          <w:szCs w:val="21"/>
        </w:rPr>
      </w:pPr>
    </w:p>
    <w:p>
      <w:pPr>
        <w:spacing w:after="0" w:line="600" w:lineRule="exact"/>
        <w:jc w:val="both"/>
        <w:rPr>
          <w:rFonts w:hint="eastAsia" w:ascii="仿宋_GB2312" w:eastAsia="仿宋_GB2312"/>
          <w:sz w:val="32"/>
          <w:szCs w:val="32"/>
        </w:rPr>
      </w:pPr>
      <w:r>
        <w:rPr>
          <w:rFonts w:hint="eastAsia" w:ascii="仿宋_GB2312" w:eastAsia="仿宋_GB2312"/>
          <w:kern w:val="2"/>
          <w:sz w:val="28"/>
          <w:szCs w:val="28"/>
        </w:rPr>
        <w:tab/>
      </w:r>
    </w:p>
    <w:p>
      <w:pPr>
        <w:pStyle w:val="2"/>
        <w:rPr>
          <w:rFonts w:hint="eastAsia"/>
        </w:rPr>
        <w:sectPr>
          <w:pgSz w:w="16838" w:h="11906" w:orient="landscape"/>
          <w:pgMar w:top="1531" w:right="1531" w:bottom="1531" w:left="1531" w:header="851" w:footer="1417" w:gutter="0"/>
          <w:cols w:space="720" w:num="1"/>
          <w:docGrid w:type="linesAndChars" w:linePitch="312" w:charSpace="0"/>
        </w:sectPr>
      </w:pPr>
    </w:p>
    <w:p>
      <w:pPr>
        <w:pStyle w:val="13"/>
        <w:rPr>
          <w:rFonts w:hint="eastAsia"/>
          <w:lang w:val="en-US" w:eastAsia="zh-CN"/>
        </w:rPr>
      </w:pPr>
    </w:p>
    <w:sectPr>
      <w:headerReference r:id="rId5" w:type="default"/>
      <w:footerReference r:id="rId6" w:type="default"/>
      <w:footerReference r:id="rId7" w:type="even"/>
      <w:pgSz w:w="11906" w:h="16838"/>
      <w:pgMar w:top="1531" w:right="1531" w:bottom="1531" w:left="1531" w:header="851" w:footer="992"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楷体">
    <w:altName w:val="楷体_GB2312"/>
    <w:panose1 w:val="02010609060101010101"/>
    <w:charset w:val="86"/>
    <w:family w:val="auto"/>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altName w:val="Arial Unicode MS"/>
    <w:panose1 w:val="02010609060101010101"/>
    <w:charset w:val="00"/>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0F3C52" w:usb2="00000016" w:usb3="00000000" w:csb0="0004001F" w:csb1="00000000"/>
  </w:font>
  <w:font w:name="方正小标宋_GBK">
    <w:altName w:val="Arial Unicode MS"/>
    <w:panose1 w:val="02000000000000000000"/>
    <w:charset w:val="86"/>
    <w:family w:val="script"/>
    <w:pitch w:val="default"/>
    <w:sig w:usb0="00000000" w:usb1="00000000" w:usb2="00082016" w:usb3="00000000" w:csb0="00040001" w:csb1="00000000"/>
  </w:font>
  <w:font w:name="Cambria">
    <w:panose1 w:val="02040503050406030204"/>
    <w:charset w:val="00"/>
    <w:family w:val="auto"/>
    <w:pitch w:val="default"/>
    <w:sig w:usb0="A00002EF" w:usb1="4000004B" w:usb2="00000000" w:usb3="00000000" w:csb0="2000009F" w:csb1="00000000"/>
  </w:font>
  <w:font w:name="仿宋">
    <w:altName w:val="Arial Unicode MS"/>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2340" w:firstLineChars="130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11"/>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219075</wp:posOffset>
              </wp:positionH>
              <wp:positionV relativeFrom="paragraph">
                <wp:posOffset>0</wp:posOffset>
              </wp:positionV>
              <wp:extent cx="462915"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62915" cy="1828800"/>
                      </a:xfrm>
                      <a:prstGeom prst="rect">
                        <a:avLst/>
                      </a:prstGeom>
                      <a:noFill/>
                      <a:ln>
                        <a:noFill/>
                      </a:ln>
                    </wps:spPr>
                    <wps:txbx>
                      <w:txbxContent>
                        <w:p>
                          <w:pPr>
                            <w:pStyle w:val="11"/>
                            <w:rPr>
                              <w:rFonts w:hint="eastAsia" w:ascii="宋体" w:hAnsi="宋体" w:cs="宋体"/>
                              <w:sz w:val="28"/>
                              <w:szCs w:val="28"/>
                            </w:rPr>
                          </w:pPr>
                        </w:p>
                      </w:txbxContent>
                    </wps:txbx>
                    <wps:bodyPr lIns="0" tIns="0" rIns="0" bIns="0" upright="0">
                      <a:spAutoFit/>
                    </wps:bodyPr>
                  </wps:wsp>
                </a:graphicData>
              </a:graphic>
            </wp:anchor>
          </w:drawing>
        </mc:Choice>
        <mc:Fallback>
          <w:pict>
            <v:shape id="_x0000_s1026" o:spid="_x0000_s1026" o:spt="202" type="#_x0000_t202" style="position:absolute;left:0pt;margin-left:17.25pt;margin-top:0pt;height:144pt;width:36.45pt;mso-position-horizontal-relative:margin;z-index:251658240;mso-width-relative:page;mso-height-relative:page;" filled="f" stroked="f" coordsize="21600,21600" o:gfxdata="UEsDBAoAAAAAAIdO4kAAAAAAAAAAAAAAAAAEAAAAZHJzL1BLAwQUAAAACACHTuJA2/pFLdQAAAAH&#10;AQAADwAAAGRycy9kb3ducmV2LnhtbE2PMU/DMBSEdyT+g/WQWBC1E0oJIS8dECxsFBY2N34kEfZz&#10;FLtJ6K/Hneh4utPdd9V2cVZMNIbeM0K2UiCIG296bhE+P15vCxAhajbaeiaEXwqwrS8vKl0aP/M7&#10;TbvYilTCodQIXYxDKWVoOnI6rPxAnLxvPzodkxxbaUY9p3JnZa7URjrdc1ro9EDPHTU/u4ND2Cwv&#10;w83bI+XzsbETfx2zLFKGeH2VqScQkZb4H4YTfkKHOjHt/YFNEBbhbn2fkgjp0MlVD2sQe4S8KBTI&#10;upLn/PUfUEsDBBQAAAAIAIdO4kDjQzxnxwEAAIwDAAAOAAAAZHJzL2Uyb0RvYy54bWytU0tu2zAQ&#10;3RfIHQjuY8lGa7iC5SCFkaJA0RZIegCaIi0C/IFDW/IF2ht01U33PZfP0SElOW26ySIbajQzevPe&#10;42h90xtNjiKAcram81lJibDcNcrua/r14e56RQlEZhumnRU1PQmgN5urV+vOV2LhWqcbEQiCWKg6&#10;X9M2Rl8VBfBWGAYz54XFonTBsIivYV80gXWIbnSxKMtl0bnQ+OC4AMDsdijSETE8B9BJqbjYOn4w&#10;wsYBNQjNIkqCVnmgm8xWSsHjZylBRKJrikpjPnEIxrt0Fps1q/aB+VbxkQJ7DoUnmgxTFodeoLYs&#10;MnII6j8oo3hw4GSccWeKQUh2BFXMyyfe3LfMi6wFrQZ/MR1eDpZ/On4JRDU1XVJimcELP//4fv75&#10;+/zrG1kmezoPFXbde+yL/TvX49JMecBkUt3LYNIT9RCso7mni7mij4Rj8vVy8Xb+hhKOpflqsVqV&#10;2f3i8WsfIL4XzpAU1DTg5WVP2fEjRGSCrVNLGmbdndI6X6C2/ySwMWWKRH2gmKLY7/pRz841J5Sj&#10;P1i0Mq3FFIQp2E3BwQe1b/PepBngbw8RB2c+CXWAGofhJWWa40KlLfj7PXc9/kS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v6RS3UAAAABwEAAA8AAAAAAAAAAQAgAAAAIgAAAGRycy9kb3ducmV2&#10;LnhtbFBLAQIUABQAAAAIAIdO4kDjQzxnxwEAAIwDAAAOAAAAAAAAAAEAIAAAACMBAABkcnMvZTJv&#10;RG9jLnhtbFBLBQYAAAAABgAGAFkBAABcBQAAAAA=&#10;">
              <v:fill on="f" focussize="0,0"/>
              <v:stroke on="f"/>
              <v:imagedata o:title=""/>
              <o:lock v:ext="edit" aspectratio="f"/>
              <v:textbox inset="0mm,0mm,0mm,0mm" style="mso-fit-shape-to-text:t;">
                <w:txbxContent>
                  <w:p>
                    <w:pPr>
                      <w:pStyle w:val="11"/>
                      <w:rPr>
                        <w:rFonts w:hint="eastAsia" w:ascii="宋体" w:hAnsi="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y="1"/>
      <w:ind w:right="360" w:firstLine="3640" w:firstLineChars="1300"/>
      <w:jc w:val="center"/>
      <w:rPr>
        <w:rStyle w:val="21"/>
        <w:rFonts w:ascii="宋体" w:hAnsi="宋体"/>
        <w:sz w:val="28"/>
        <w:szCs w:val="28"/>
      </w:rPr>
    </w:pPr>
    <w:r>
      <w:rPr>
        <w:rFonts w:hint="eastAsia" w:ascii="宋体" w:hAnsi="宋体"/>
        <w:kern w:val="0"/>
        <w:sz w:val="28"/>
        <w:szCs w:val="28"/>
      </w:rPr>
      <w:t xml:space="preserve">     </w:t>
    </w:r>
  </w:p>
  <w:p>
    <w:pPr>
      <w:pStyle w:val="11"/>
      <w:ind w:firstLine="7840" w:firstLineChars="2800"/>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513715"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13715" cy="1828800"/>
                      </a:xfrm>
                      <a:prstGeom prst="rect">
                        <a:avLst/>
                      </a:prstGeom>
                      <a:noFill/>
                      <a:ln>
                        <a:noFill/>
                      </a:ln>
                    </wps:spPr>
                    <wps:txbx>
                      <w:txbxContent>
                        <w:p>
                          <w:pPr>
                            <w:pStyle w:val="11"/>
                            <w:rPr>
                              <w:rStyle w:val="21"/>
                              <w:rFonts w:hint="eastAsia" w:ascii="宋体" w:hAnsi="宋体" w:eastAsia="宋体"/>
                              <w:sz w:val="28"/>
                              <w:szCs w:val="28"/>
                              <w:lang w:eastAsia="zh-CN"/>
                            </w:rPr>
                          </w:pPr>
                          <w:r>
                            <w:rPr>
                              <w:rFonts w:hint="eastAsia" w:ascii="宋体" w:hAnsi="宋体"/>
                              <w:sz w:val="28"/>
                              <w:szCs w:val="28"/>
                              <w:lang w:eastAsia="zh-CN"/>
                            </w:rPr>
                            <w:t>—</w:t>
                          </w: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1</w:t>
                          </w:r>
                          <w:r>
                            <w:rPr>
                              <w:rFonts w:ascii="宋体" w:hAnsi="宋体"/>
                              <w:sz w:val="28"/>
                              <w:szCs w:val="28"/>
                            </w:rPr>
                            <w:fldChar w:fldCharType="end"/>
                          </w:r>
                          <w:r>
                            <w:rPr>
                              <w:rFonts w:hint="eastAsia" w:ascii="宋体" w:hAnsi="宋体"/>
                              <w:sz w:val="28"/>
                              <w:szCs w:val="28"/>
                              <w:lang w:eastAsia="zh-CN"/>
                            </w:rPr>
                            <w:t>—</w:t>
                          </w:r>
                        </w:p>
                      </w:txbxContent>
                    </wps:txbx>
                    <wps:bodyPr vert="horz" wrap="square" lIns="0" tIns="0" rIns="0" bIns="0" anchor="t" upright="0">
                      <a:spAutoFit/>
                    </wps:bodyPr>
                  </wps:wsp>
                </a:graphicData>
              </a:graphic>
            </wp:anchor>
          </w:drawing>
        </mc:Choice>
        <mc:Fallback>
          <w:pict>
            <v:shape id="文本框 2" o:spid="_x0000_s1026" o:spt="202" type="#_x0000_t202" style="position:absolute;left:0pt;margin-top:0pt;height:144pt;width:40.45pt;mso-position-horizontal:outside;mso-position-horizontal-relative:margin;z-index:251658240;mso-width-relative:page;mso-height-relative:page;" filled="f" stroked="f" coordsize="21600,21600" o:gfxdata="UEsDBAoAAAAAAIdO4kAAAAAAAAAAAAAAAAAEAAAAZHJzL1BLAwQUAAAACACHTuJA/jmDSNIAAAAE&#10;AQAADwAAAGRycy9kb3ducmV2LnhtbE2PMU/DMBCFdyT+g3VILKi1naFKQy4dECxsFBY2Nz6SCPsc&#10;xW4S+usxLLCc9PSe3vuuPqzeiZmmOARG0FsFgrgNduAO4e31aVOCiMmwNS4wIXxRhENzfVWbyoaF&#10;X2g+pk7kEo6VQehTGispY9uTN3EbRuLsfYTJm5Tl1Ek7mSWXeycLpXbSm4HzQm9Geuip/TyePcJu&#10;fRzvnvdULJfWzfx+0TqRRry90eoeRKI1/YXhBz+jQ5OZTuHMNgqHkB9Jvzd7pdqDOCEUZalANrX8&#10;D998A1BLAwQUAAAACACHTuJAc4Ismt8BAACxAwAADgAAAGRycy9lMm9Eb2MueG1srVPNjtMwEL4j&#10;8Q6W7zRJ0UIVNV2BqkVICJAWHsB1nMZS/MOM06Q8ALwBJy7cea4+x46dtAvLZQ9cnPHMeOb7vpms&#10;r0fTsYMC1M5WvFjknCkrXa3tvuKfP908W3GGQdhadM6qih8V8uvN0yfrwZdq6VrX1QoYFbFYDr7i&#10;bQi+zDKUrTICF84rS8HGgRGBrrDPahADVTddtszzF9ngoPbgpEIk73YK8rkiPKagaxot1dbJ3igb&#10;pqqgOhGIErbaI98ktE2jZPjQNKgC6ypOTEM6qQnZu3hmm7Uo9yB8q+UMQTwGwgNORmhLTS+ltiII&#10;1oP+p5TREhy6JiykM9lEJClCLIr8gTa3rfAqcSGp0V9Ex/9XVr4/fASma9oEzqwwNPDTj++nn79P&#10;v76xZZRn8FhS1q2nvDC+dmNMnf1Izsh6bMDEL/FhFCdxjxdx1RiYJOdV8fxlccWZpFCxWq5WeVI/&#10;u3/tAcMb5QyLRsWBhpc0FYd3GKgjpZ5TYjPrbnTXpQF29i8HJUZPFqFPEKMVxt044965+kh06C+g&#10;Pq2Dr5wNtAMVxy+9AMVZ99aSyHFhzgacjd3ZEFbS04oHznoPet+m5YpA0L/qA6FLoGPrqd+MiCaZ&#10;uMxbF1flz3vKuv/TNn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YNI0gAAAAQBAAAPAAAAAAAA&#10;AAEAIAAAACIAAABkcnMvZG93bnJldi54bWxQSwECFAAUAAAACACHTuJAc4Ismt8BAACxAwAADgAA&#10;AAAAAAABACAAAAAhAQAAZHJzL2Uyb0RvYy54bWxQSwUGAAAAAAYABgBZAQAAcgUAAAAA&#10;">
              <v:fill on="f" focussize="0,0"/>
              <v:stroke on="f"/>
              <v:imagedata o:title=""/>
              <o:lock v:ext="edit" aspectratio="f"/>
              <v:textbox inset="0mm,0mm,0mm,0mm" style="mso-fit-shape-to-text:t;">
                <w:txbxContent>
                  <w:p>
                    <w:pPr>
                      <w:pStyle w:val="11"/>
                      <w:rPr>
                        <w:rStyle w:val="21"/>
                        <w:rFonts w:hint="eastAsia" w:ascii="宋体" w:hAnsi="宋体" w:eastAsia="宋体"/>
                        <w:sz w:val="28"/>
                        <w:szCs w:val="28"/>
                        <w:lang w:eastAsia="zh-CN"/>
                      </w:rPr>
                    </w:pPr>
                    <w:r>
                      <w:rPr>
                        <w:rFonts w:hint="eastAsia" w:ascii="宋体" w:hAnsi="宋体"/>
                        <w:sz w:val="28"/>
                        <w:szCs w:val="28"/>
                        <w:lang w:eastAsia="zh-CN"/>
                      </w:rPr>
                      <w:t>—</w:t>
                    </w: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1</w:t>
                    </w:r>
                    <w:r>
                      <w:rPr>
                        <w:rFonts w:ascii="宋体" w:hAnsi="宋体"/>
                        <w:sz w:val="28"/>
                        <w:szCs w:val="28"/>
                      </w:rPr>
                      <w:fldChar w:fldCharType="end"/>
                    </w:r>
                    <w:r>
                      <w:rPr>
                        <w:rFonts w:hint="eastAsia" w:ascii="宋体" w:hAnsi="宋体"/>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180" w:firstLineChars="10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Style w:val="21"/>
                              <w:rFonts w:hint="eastAsia" w:ascii="宋体" w:hAnsi="宋体"/>
                              <w:sz w:val="28"/>
                              <w:szCs w:val="28"/>
                            </w:rPr>
                          </w:pPr>
                          <w:r>
                            <w:rPr>
                              <w:rStyle w:val="21"/>
                              <w:rFonts w:hint="eastAsia" w:ascii="宋体" w:hAnsi="宋体"/>
                              <w:sz w:val="28"/>
                              <w:szCs w:val="28"/>
                            </w:rPr>
                            <w:t>-</w:t>
                          </w: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2</w:t>
                          </w:r>
                          <w:r>
                            <w:rPr>
                              <w:rFonts w:ascii="宋体" w:hAnsi="宋体"/>
                              <w:sz w:val="28"/>
                              <w:szCs w:val="28"/>
                            </w:rPr>
                            <w:fldChar w:fldCharType="end"/>
                          </w:r>
                          <w:r>
                            <w:rPr>
                              <w:rStyle w:val="21"/>
                              <w:rFonts w:hint="eastAsia" w:ascii="宋体" w:hAnsi="宋体"/>
                              <w:sz w:val="28"/>
                              <w:szCs w:val="28"/>
                            </w:rPr>
                            <w:t>-</w:t>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dIOtgBAACwAwAADgAAAGRycy9lMm9Eb2MueG1srVPBjtMwEL0j8Q+W&#10;7zTZIqEqarpaVC1CQoC08AGu4zSWbI/lcZuUD4A/4MSFO9/V72DsJN1luexhL8l4ZvzmvZnx+nqw&#10;hh1VQA2u5leLkjPlJDTa7Wv+9cvtqxVnGIVrhAGnan5SyK83L1+se1+pJXRgGhUYgTisel/zLkZf&#10;FQXKTlmBC/DKUbCFYEWkY9gXTRA9oVtTLMvyTdFDaHwAqRDJux2DfEIMTwGEttVSbUEerHJxRA3K&#10;iEiSsNMe+SazbVsl46e2RRWZqTkpjflLRcjepW+xWYtqH4TvtJwoiKdQeKTJCu2o6AVqK6Jgh6D/&#10;g7JaBkBo40KCLUYhuSOk4qp81Ju7TniVtVCr0V+ajs8HKz8ePwemm5ovOXPC0sDPP3+cf/05//7O&#10;Xqf29B4ryrrzlBeHtzDQ0sx+JGdSPbTBpj/pYRSn5p4uzVVDZDJdWi1Xq5JCkmLzgfCL++s+YHyn&#10;wLJk1DzQ9HJTxfEDxjF1TknVHNxqY/IEjfvHQZjJUyTuI8dkxWE3TIJ20JxIDz0DqtNB+MZZT0tQ&#10;c0c7z5l576jHaV9mI8zGbjaEk3Sx5pGzgw963+XdSjTQ3xwiccuUU+Gx2sSHBplFT0uXNuXhOWfd&#10;P7TN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Q50g62AEAALADAAAOAAAAAAAAAAEAIAAA&#10;AB4BAABkcnMvZTJvRG9jLnhtbFBLBQYAAAAABgAGAFkBAABoBQAAAAA=&#10;">
              <v:fill on="f" focussize="0,0"/>
              <v:stroke on="f"/>
              <v:imagedata o:title=""/>
              <o:lock v:ext="edit" aspectratio="f"/>
              <v:textbox inset="0mm,0mm,0mm,0mm" style="mso-fit-shape-to-text:t;">
                <w:txbxContent>
                  <w:p>
                    <w:pPr>
                      <w:pStyle w:val="11"/>
                      <w:rPr>
                        <w:rStyle w:val="21"/>
                        <w:rFonts w:hint="eastAsia" w:ascii="宋体" w:hAnsi="宋体"/>
                        <w:sz w:val="28"/>
                        <w:szCs w:val="28"/>
                      </w:rPr>
                    </w:pPr>
                    <w:r>
                      <w:rPr>
                        <w:rStyle w:val="21"/>
                        <w:rFonts w:hint="eastAsia" w:ascii="宋体" w:hAnsi="宋体"/>
                        <w:sz w:val="28"/>
                        <w:szCs w:val="28"/>
                      </w:rPr>
                      <w:t>-</w:t>
                    </w: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2</w:t>
                    </w:r>
                    <w:r>
                      <w:rPr>
                        <w:rFonts w:ascii="宋体" w:hAnsi="宋体"/>
                        <w:sz w:val="28"/>
                        <w:szCs w:val="28"/>
                      </w:rPr>
                      <w:fldChar w:fldCharType="end"/>
                    </w:r>
                    <w:r>
                      <w:rPr>
                        <w:rStyle w:val="21"/>
                        <w:rFonts w:hint="eastAsia" w:ascii="宋体" w:hAnsi="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4DEE92"/>
    <w:multiLevelType w:val="multilevel"/>
    <w:tmpl w:val="B24DEE92"/>
    <w:lvl w:ilvl="0" w:tentative="0">
      <w:start w:val="1"/>
      <w:numFmt w:val="decimal"/>
      <w:lvlText w:val="%1."/>
      <w:lvlJc w:val="left"/>
      <w:pPr>
        <w:tabs>
          <w:tab w:val="left" w:pos="312"/>
        </w:tabs>
        <w:ind w:left="0" w:firstLine="0"/>
      </w:pPr>
      <w:rPr>
        <w:rFonts w:hint="default" w:ascii="Times New Roman" w:hAnsi="Times New Roman"/>
      </w:rPr>
    </w:lvl>
    <w:lvl w:ilvl="1" w:tentative="0">
      <w:start w:val="1"/>
      <w:numFmt w:val="decimal"/>
      <w:lvlRestart w:val="0"/>
      <w:lvlText w:val="%1."/>
      <w:lvlJc w:val="left"/>
      <w:pPr>
        <w:tabs>
          <w:tab w:val="left" w:pos="312"/>
        </w:tabs>
        <w:ind w:left="0" w:firstLine="0"/>
      </w:pPr>
      <w:rPr>
        <w:rFonts w:hint="default" w:ascii="Times New Roman" w:hAnsi="Times New Roman"/>
      </w:rPr>
    </w:lvl>
    <w:lvl w:ilvl="2" w:tentative="0">
      <w:start w:val="1"/>
      <w:numFmt w:val="decimal"/>
      <w:lvlRestart w:val="0"/>
      <w:lvlText w:val="%1."/>
      <w:lvlJc w:val="left"/>
      <w:pPr>
        <w:tabs>
          <w:tab w:val="left" w:pos="312"/>
        </w:tabs>
        <w:ind w:left="0" w:firstLine="0"/>
      </w:pPr>
      <w:rPr>
        <w:rFonts w:hint="default" w:ascii="Times New Roman" w:hAnsi="Times New Roman"/>
      </w:rPr>
    </w:lvl>
    <w:lvl w:ilvl="3" w:tentative="0">
      <w:start w:val="1"/>
      <w:numFmt w:val="decimal"/>
      <w:lvlRestart w:val="0"/>
      <w:lvlText w:val="%1."/>
      <w:lvlJc w:val="left"/>
      <w:pPr>
        <w:tabs>
          <w:tab w:val="left" w:pos="312"/>
        </w:tabs>
        <w:ind w:left="0" w:firstLine="0"/>
      </w:pPr>
      <w:rPr>
        <w:rFonts w:hint="default" w:ascii="Times New Roman" w:hAnsi="Times New Roman"/>
      </w:rPr>
    </w:lvl>
    <w:lvl w:ilvl="4" w:tentative="0">
      <w:start w:val="1"/>
      <w:numFmt w:val="decimal"/>
      <w:lvlRestart w:val="0"/>
      <w:lvlText w:val="%1."/>
      <w:lvlJc w:val="left"/>
      <w:pPr>
        <w:tabs>
          <w:tab w:val="left" w:pos="312"/>
        </w:tabs>
        <w:ind w:left="0" w:firstLine="0"/>
      </w:pPr>
      <w:rPr>
        <w:rFonts w:hint="default" w:ascii="Times New Roman" w:hAnsi="Times New Roman"/>
      </w:rPr>
    </w:lvl>
    <w:lvl w:ilvl="5" w:tentative="0">
      <w:start w:val="1"/>
      <w:numFmt w:val="decimal"/>
      <w:lvlRestart w:val="0"/>
      <w:lvlText w:val="%1."/>
      <w:lvlJc w:val="left"/>
      <w:pPr>
        <w:tabs>
          <w:tab w:val="left" w:pos="312"/>
        </w:tabs>
        <w:ind w:left="0" w:firstLine="0"/>
      </w:pPr>
      <w:rPr>
        <w:rFonts w:hint="default" w:ascii="Times New Roman" w:hAnsi="Times New Roman"/>
      </w:rPr>
    </w:lvl>
    <w:lvl w:ilvl="6" w:tentative="0">
      <w:start w:val="1"/>
      <w:numFmt w:val="decimal"/>
      <w:lvlRestart w:val="0"/>
      <w:lvlText w:val="%1."/>
      <w:lvlJc w:val="left"/>
      <w:pPr>
        <w:tabs>
          <w:tab w:val="left" w:pos="312"/>
        </w:tabs>
        <w:ind w:left="0" w:firstLine="0"/>
      </w:pPr>
      <w:rPr>
        <w:rFonts w:hint="default" w:ascii="Times New Roman" w:hAnsi="Times New Roman"/>
      </w:rPr>
    </w:lvl>
    <w:lvl w:ilvl="7" w:tentative="0">
      <w:start w:val="1"/>
      <w:numFmt w:val="decimal"/>
      <w:lvlRestart w:val="0"/>
      <w:lvlText w:val="%1."/>
      <w:lvlJc w:val="left"/>
      <w:pPr>
        <w:tabs>
          <w:tab w:val="left" w:pos="312"/>
        </w:tabs>
        <w:ind w:left="0" w:firstLine="0"/>
      </w:pPr>
      <w:rPr>
        <w:rFonts w:hint="default" w:ascii="Times New Roman" w:hAnsi="Times New Roman"/>
      </w:rPr>
    </w:lvl>
    <w:lvl w:ilvl="8" w:tentative="0">
      <w:start w:val="1"/>
      <w:numFmt w:val="decimal"/>
      <w:lvlRestart w:val="0"/>
      <w:lvlText w:val="%1."/>
      <w:lvlJc w:val="left"/>
      <w:pPr>
        <w:tabs>
          <w:tab w:val="left" w:pos="312"/>
        </w:tabs>
        <w:ind w:left="0" w:firstLine="0"/>
      </w:pPr>
      <w:rPr>
        <w:rFonts w:hint="default" w:ascii="Times New Roman" w:hAnsi="Times New Roman"/>
      </w:rPr>
    </w:lvl>
  </w:abstractNum>
  <w:abstractNum w:abstractNumId="1">
    <w:nsid w:val="00000001"/>
    <w:multiLevelType w:val="multilevel"/>
    <w:tmpl w:val="00000001"/>
    <w:lvl w:ilvl="0" w:tentative="0">
      <w:start w:val="1"/>
      <w:numFmt w:val="decimal"/>
      <w:lvlText w:val="%1."/>
      <w:lvlJc w:val="left"/>
      <w:pPr>
        <w:tabs>
          <w:tab w:val="left" w:pos="312"/>
        </w:tabs>
        <w:ind w:left="0" w:firstLine="0"/>
      </w:pPr>
      <w:rPr>
        <w:rFonts w:hint="default" w:ascii="Times New Roman" w:hAnsi="Times New Roman"/>
      </w:rPr>
    </w:lvl>
    <w:lvl w:ilvl="1" w:tentative="0">
      <w:start w:val="1"/>
      <w:numFmt w:val="decimal"/>
      <w:lvlRestart w:val="0"/>
      <w:lvlText w:val="%1."/>
      <w:lvlJc w:val="left"/>
      <w:pPr>
        <w:tabs>
          <w:tab w:val="left" w:pos="312"/>
        </w:tabs>
        <w:ind w:left="0" w:firstLine="0"/>
      </w:pPr>
      <w:rPr>
        <w:rFonts w:hint="default" w:ascii="Times New Roman" w:hAnsi="Times New Roman"/>
      </w:rPr>
    </w:lvl>
    <w:lvl w:ilvl="2" w:tentative="0">
      <w:start w:val="1"/>
      <w:numFmt w:val="decimal"/>
      <w:lvlRestart w:val="0"/>
      <w:lvlText w:val="%1."/>
      <w:lvlJc w:val="left"/>
      <w:pPr>
        <w:tabs>
          <w:tab w:val="left" w:pos="312"/>
        </w:tabs>
        <w:ind w:left="0" w:firstLine="0"/>
      </w:pPr>
      <w:rPr>
        <w:rFonts w:hint="default" w:ascii="Times New Roman" w:hAnsi="Times New Roman"/>
      </w:rPr>
    </w:lvl>
    <w:lvl w:ilvl="3" w:tentative="0">
      <w:start w:val="1"/>
      <w:numFmt w:val="decimal"/>
      <w:lvlRestart w:val="0"/>
      <w:lvlText w:val="%1."/>
      <w:lvlJc w:val="left"/>
      <w:pPr>
        <w:tabs>
          <w:tab w:val="left" w:pos="312"/>
        </w:tabs>
        <w:ind w:left="0" w:firstLine="0"/>
      </w:pPr>
      <w:rPr>
        <w:rFonts w:hint="default" w:ascii="Times New Roman" w:hAnsi="Times New Roman"/>
      </w:rPr>
    </w:lvl>
    <w:lvl w:ilvl="4" w:tentative="0">
      <w:start w:val="1"/>
      <w:numFmt w:val="decimal"/>
      <w:lvlRestart w:val="0"/>
      <w:lvlText w:val="%1."/>
      <w:lvlJc w:val="left"/>
      <w:pPr>
        <w:tabs>
          <w:tab w:val="left" w:pos="312"/>
        </w:tabs>
        <w:ind w:left="0" w:firstLine="0"/>
      </w:pPr>
      <w:rPr>
        <w:rFonts w:hint="default" w:ascii="Times New Roman" w:hAnsi="Times New Roman"/>
      </w:rPr>
    </w:lvl>
    <w:lvl w:ilvl="5" w:tentative="0">
      <w:start w:val="1"/>
      <w:numFmt w:val="decimal"/>
      <w:lvlRestart w:val="0"/>
      <w:lvlText w:val="%1."/>
      <w:lvlJc w:val="left"/>
      <w:pPr>
        <w:tabs>
          <w:tab w:val="left" w:pos="312"/>
        </w:tabs>
        <w:ind w:left="0" w:firstLine="0"/>
      </w:pPr>
      <w:rPr>
        <w:rFonts w:hint="default" w:ascii="Times New Roman" w:hAnsi="Times New Roman"/>
      </w:rPr>
    </w:lvl>
    <w:lvl w:ilvl="6" w:tentative="0">
      <w:start w:val="1"/>
      <w:numFmt w:val="decimal"/>
      <w:lvlRestart w:val="0"/>
      <w:lvlText w:val="%1."/>
      <w:lvlJc w:val="left"/>
      <w:pPr>
        <w:tabs>
          <w:tab w:val="left" w:pos="312"/>
        </w:tabs>
        <w:ind w:left="0" w:firstLine="0"/>
      </w:pPr>
      <w:rPr>
        <w:rFonts w:hint="default" w:ascii="Times New Roman" w:hAnsi="Times New Roman"/>
      </w:rPr>
    </w:lvl>
    <w:lvl w:ilvl="7" w:tentative="0">
      <w:start w:val="1"/>
      <w:numFmt w:val="decimal"/>
      <w:lvlRestart w:val="0"/>
      <w:lvlText w:val="%1."/>
      <w:lvlJc w:val="left"/>
      <w:pPr>
        <w:tabs>
          <w:tab w:val="left" w:pos="312"/>
        </w:tabs>
        <w:ind w:left="0" w:firstLine="0"/>
      </w:pPr>
      <w:rPr>
        <w:rFonts w:hint="default" w:ascii="Times New Roman" w:hAnsi="Times New Roman"/>
      </w:rPr>
    </w:lvl>
    <w:lvl w:ilvl="8" w:tentative="0">
      <w:start w:val="1"/>
      <w:numFmt w:val="decimal"/>
      <w:lvlRestart w:val="0"/>
      <w:lvlText w:val="%1."/>
      <w:lvlJc w:val="left"/>
      <w:pPr>
        <w:tabs>
          <w:tab w:val="left" w:pos="312"/>
        </w:tabs>
        <w:ind w:left="0" w:firstLine="0"/>
      </w:pPr>
      <w:rPr>
        <w:rFonts w:hint="default" w:ascii="Times New Roman" w:hAnsi="Times New Roman"/>
      </w:rPr>
    </w:lvl>
  </w:abstractNum>
  <w:abstractNum w:abstractNumId="2">
    <w:nsid w:val="00000002"/>
    <w:multiLevelType w:val="multilevel"/>
    <w:tmpl w:val="00000002"/>
    <w:lvl w:ilvl="0" w:tentative="0">
      <w:start w:val="1"/>
      <w:numFmt w:val="decimal"/>
      <w:lvlText w:val="%1."/>
      <w:lvlJc w:val="left"/>
      <w:pPr>
        <w:tabs>
          <w:tab w:val="left" w:pos="312"/>
        </w:tabs>
        <w:ind w:left="0" w:firstLine="0"/>
      </w:pPr>
      <w:rPr>
        <w:rFonts w:hint="default" w:ascii="Times New Roman" w:hAnsi="Times New Roman"/>
      </w:rPr>
    </w:lvl>
    <w:lvl w:ilvl="1" w:tentative="0">
      <w:start w:val="1"/>
      <w:numFmt w:val="decimal"/>
      <w:lvlRestart w:val="0"/>
      <w:lvlText w:val="%1."/>
      <w:lvlJc w:val="left"/>
      <w:pPr>
        <w:tabs>
          <w:tab w:val="left" w:pos="312"/>
        </w:tabs>
        <w:ind w:left="0" w:firstLine="0"/>
      </w:pPr>
      <w:rPr>
        <w:rFonts w:hint="default" w:ascii="Times New Roman" w:hAnsi="Times New Roman"/>
      </w:rPr>
    </w:lvl>
    <w:lvl w:ilvl="2" w:tentative="0">
      <w:start w:val="1"/>
      <w:numFmt w:val="decimal"/>
      <w:lvlRestart w:val="0"/>
      <w:lvlText w:val="%1."/>
      <w:lvlJc w:val="left"/>
      <w:pPr>
        <w:tabs>
          <w:tab w:val="left" w:pos="312"/>
        </w:tabs>
        <w:ind w:left="0" w:firstLine="0"/>
      </w:pPr>
      <w:rPr>
        <w:rFonts w:hint="default" w:ascii="Times New Roman" w:hAnsi="Times New Roman"/>
      </w:rPr>
    </w:lvl>
    <w:lvl w:ilvl="3" w:tentative="0">
      <w:start w:val="1"/>
      <w:numFmt w:val="decimal"/>
      <w:lvlRestart w:val="0"/>
      <w:lvlText w:val="%1."/>
      <w:lvlJc w:val="left"/>
      <w:pPr>
        <w:tabs>
          <w:tab w:val="left" w:pos="312"/>
        </w:tabs>
        <w:ind w:left="0" w:firstLine="0"/>
      </w:pPr>
      <w:rPr>
        <w:rFonts w:hint="default" w:ascii="Times New Roman" w:hAnsi="Times New Roman"/>
      </w:rPr>
    </w:lvl>
    <w:lvl w:ilvl="4" w:tentative="0">
      <w:start w:val="1"/>
      <w:numFmt w:val="decimal"/>
      <w:lvlRestart w:val="0"/>
      <w:lvlText w:val="%1."/>
      <w:lvlJc w:val="left"/>
      <w:pPr>
        <w:tabs>
          <w:tab w:val="left" w:pos="312"/>
        </w:tabs>
        <w:ind w:left="0" w:firstLine="0"/>
      </w:pPr>
      <w:rPr>
        <w:rFonts w:hint="default" w:ascii="Times New Roman" w:hAnsi="Times New Roman"/>
      </w:rPr>
    </w:lvl>
    <w:lvl w:ilvl="5" w:tentative="0">
      <w:start w:val="1"/>
      <w:numFmt w:val="decimal"/>
      <w:lvlRestart w:val="0"/>
      <w:lvlText w:val="%1."/>
      <w:lvlJc w:val="left"/>
      <w:pPr>
        <w:tabs>
          <w:tab w:val="left" w:pos="312"/>
        </w:tabs>
        <w:ind w:left="0" w:firstLine="0"/>
      </w:pPr>
      <w:rPr>
        <w:rFonts w:hint="default" w:ascii="Times New Roman" w:hAnsi="Times New Roman"/>
      </w:rPr>
    </w:lvl>
    <w:lvl w:ilvl="6" w:tentative="0">
      <w:start w:val="1"/>
      <w:numFmt w:val="decimal"/>
      <w:lvlRestart w:val="0"/>
      <w:lvlText w:val="%1."/>
      <w:lvlJc w:val="left"/>
      <w:pPr>
        <w:tabs>
          <w:tab w:val="left" w:pos="312"/>
        </w:tabs>
        <w:ind w:left="0" w:firstLine="0"/>
      </w:pPr>
      <w:rPr>
        <w:rFonts w:hint="default" w:ascii="Times New Roman" w:hAnsi="Times New Roman"/>
      </w:rPr>
    </w:lvl>
    <w:lvl w:ilvl="7" w:tentative="0">
      <w:start w:val="1"/>
      <w:numFmt w:val="decimal"/>
      <w:lvlRestart w:val="0"/>
      <w:lvlText w:val="%1."/>
      <w:lvlJc w:val="left"/>
      <w:pPr>
        <w:tabs>
          <w:tab w:val="left" w:pos="312"/>
        </w:tabs>
        <w:ind w:left="0" w:firstLine="0"/>
      </w:pPr>
      <w:rPr>
        <w:rFonts w:hint="default" w:ascii="Times New Roman" w:hAnsi="Times New Roman"/>
      </w:rPr>
    </w:lvl>
    <w:lvl w:ilvl="8" w:tentative="0">
      <w:start w:val="1"/>
      <w:numFmt w:val="decimal"/>
      <w:lvlRestart w:val="0"/>
      <w:lvlText w:val="%1."/>
      <w:lvlJc w:val="left"/>
      <w:pPr>
        <w:tabs>
          <w:tab w:val="left" w:pos="312"/>
        </w:tabs>
        <w:ind w:left="0" w:firstLine="0"/>
      </w:pPr>
      <w:rPr>
        <w:rFonts w:hint="default" w:ascii="Times New Roman" w:hAnsi="Times New Roman"/>
      </w:rPr>
    </w:lvl>
  </w:abstractNum>
  <w:abstractNum w:abstractNumId="3">
    <w:nsid w:val="00000003"/>
    <w:multiLevelType w:val="multilevel"/>
    <w:tmpl w:val="00000003"/>
    <w:lvl w:ilvl="0" w:tentative="0">
      <w:start w:val="1"/>
      <w:numFmt w:val="decimal"/>
      <w:lvlText w:val="%1."/>
      <w:lvlJc w:val="left"/>
      <w:pPr>
        <w:tabs>
          <w:tab w:val="left" w:pos="312"/>
        </w:tabs>
        <w:ind w:left="0" w:firstLine="0"/>
      </w:pPr>
      <w:rPr>
        <w:rFonts w:hint="default" w:ascii="Times New Roman" w:hAnsi="Times New Roman"/>
      </w:rPr>
    </w:lvl>
    <w:lvl w:ilvl="1" w:tentative="0">
      <w:start w:val="1"/>
      <w:numFmt w:val="decimal"/>
      <w:lvlRestart w:val="0"/>
      <w:lvlText w:val="%1."/>
      <w:lvlJc w:val="left"/>
      <w:pPr>
        <w:tabs>
          <w:tab w:val="left" w:pos="312"/>
        </w:tabs>
        <w:ind w:left="0" w:firstLine="0"/>
      </w:pPr>
      <w:rPr>
        <w:rFonts w:hint="default" w:ascii="Times New Roman" w:hAnsi="Times New Roman"/>
      </w:rPr>
    </w:lvl>
    <w:lvl w:ilvl="2" w:tentative="0">
      <w:start w:val="1"/>
      <w:numFmt w:val="decimal"/>
      <w:lvlRestart w:val="0"/>
      <w:lvlText w:val="%1."/>
      <w:lvlJc w:val="left"/>
      <w:pPr>
        <w:tabs>
          <w:tab w:val="left" w:pos="312"/>
        </w:tabs>
        <w:ind w:left="0" w:firstLine="0"/>
      </w:pPr>
      <w:rPr>
        <w:rFonts w:hint="default" w:ascii="Times New Roman" w:hAnsi="Times New Roman"/>
      </w:rPr>
    </w:lvl>
    <w:lvl w:ilvl="3" w:tentative="0">
      <w:start w:val="1"/>
      <w:numFmt w:val="decimal"/>
      <w:lvlRestart w:val="0"/>
      <w:lvlText w:val="%1."/>
      <w:lvlJc w:val="left"/>
      <w:pPr>
        <w:tabs>
          <w:tab w:val="left" w:pos="312"/>
        </w:tabs>
        <w:ind w:left="0" w:firstLine="0"/>
      </w:pPr>
      <w:rPr>
        <w:rFonts w:hint="default" w:ascii="Times New Roman" w:hAnsi="Times New Roman"/>
      </w:rPr>
    </w:lvl>
    <w:lvl w:ilvl="4" w:tentative="0">
      <w:start w:val="1"/>
      <w:numFmt w:val="decimal"/>
      <w:lvlRestart w:val="0"/>
      <w:lvlText w:val="%1."/>
      <w:lvlJc w:val="left"/>
      <w:pPr>
        <w:tabs>
          <w:tab w:val="left" w:pos="312"/>
        </w:tabs>
        <w:ind w:left="0" w:firstLine="0"/>
      </w:pPr>
      <w:rPr>
        <w:rFonts w:hint="default" w:ascii="Times New Roman" w:hAnsi="Times New Roman"/>
      </w:rPr>
    </w:lvl>
    <w:lvl w:ilvl="5" w:tentative="0">
      <w:start w:val="1"/>
      <w:numFmt w:val="decimal"/>
      <w:lvlRestart w:val="0"/>
      <w:lvlText w:val="%1."/>
      <w:lvlJc w:val="left"/>
      <w:pPr>
        <w:tabs>
          <w:tab w:val="left" w:pos="312"/>
        </w:tabs>
        <w:ind w:left="0" w:firstLine="0"/>
      </w:pPr>
      <w:rPr>
        <w:rFonts w:hint="default" w:ascii="Times New Roman" w:hAnsi="Times New Roman"/>
      </w:rPr>
    </w:lvl>
    <w:lvl w:ilvl="6" w:tentative="0">
      <w:start w:val="1"/>
      <w:numFmt w:val="decimal"/>
      <w:lvlRestart w:val="0"/>
      <w:lvlText w:val="%1."/>
      <w:lvlJc w:val="left"/>
      <w:pPr>
        <w:tabs>
          <w:tab w:val="left" w:pos="312"/>
        </w:tabs>
        <w:ind w:left="0" w:firstLine="0"/>
      </w:pPr>
      <w:rPr>
        <w:rFonts w:hint="default" w:ascii="Times New Roman" w:hAnsi="Times New Roman"/>
      </w:rPr>
    </w:lvl>
    <w:lvl w:ilvl="7" w:tentative="0">
      <w:start w:val="1"/>
      <w:numFmt w:val="decimal"/>
      <w:lvlRestart w:val="0"/>
      <w:lvlText w:val="%1."/>
      <w:lvlJc w:val="left"/>
      <w:pPr>
        <w:tabs>
          <w:tab w:val="left" w:pos="312"/>
        </w:tabs>
        <w:ind w:left="0" w:firstLine="0"/>
      </w:pPr>
      <w:rPr>
        <w:rFonts w:hint="default" w:ascii="Times New Roman" w:hAnsi="Times New Roman"/>
      </w:rPr>
    </w:lvl>
    <w:lvl w:ilvl="8" w:tentative="0">
      <w:start w:val="1"/>
      <w:numFmt w:val="decimal"/>
      <w:lvlRestart w:val="0"/>
      <w:lvlText w:val="%1."/>
      <w:lvlJc w:val="left"/>
      <w:pPr>
        <w:tabs>
          <w:tab w:val="left" w:pos="312"/>
        </w:tabs>
        <w:ind w:left="0" w:firstLine="0"/>
      </w:pPr>
      <w:rPr>
        <w:rFonts w:hint="default" w:ascii="Times New Roman" w:hAnsi="Times New Roman"/>
      </w:rPr>
    </w:lvl>
  </w:abstractNum>
  <w:abstractNum w:abstractNumId="4">
    <w:nsid w:val="00000004"/>
    <w:multiLevelType w:val="multilevel"/>
    <w:tmpl w:val="00000004"/>
    <w:lvl w:ilvl="0" w:tentative="0">
      <w:start w:val="1"/>
      <w:numFmt w:val="decimal"/>
      <w:lvlText w:val="%1."/>
      <w:lvlJc w:val="left"/>
      <w:pPr>
        <w:tabs>
          <w:tab w:val="left" w:pos="312"/>
        </w:tabs>
        <w:ind w:left="0" w:firstLine="0"/>
      </w:pPr>
      <w:rPr>
        <w:rFonts w:hint="default" w:ascii="Times New Roman" w:hAnsi="Times New Roman"/>
      </w:rPr>
    </w:lvl>
    <w:lvl w:ilvl="1" w:tentative="0">
      <w:start w:val="1"/>
      <w:numFmt w:val="decimal"/>
      <w:lvlRestart w:val="0"/>
      <w:lvlText w:val="%1."/>
      <w:lvlJc w:val="left"/>
      <w:pPr>
        <w:tabs>
          <w:tab w:val="left" w:pos="312"/>
        </w:tabs>
        <w:ind w:left="0" w:firstLine="0"/>
      </w:pPr>
      <w:rPr>
        <w:rFonts w:hint="default" w:ascii="Times New Roman" w:hAnsi="Times New Roman"/>
      </w:rPr>
    </w:lvl>
    <w:lvl w:ilvl="2" w:tentative="0">
      <w:start w:val="1"/>
      <w:numFmt w:val="decimal"/>
      <w:lvlRestart w:val="0"/>
      <w:lvlText w:val="%1."/>
      <w:lvlJc w:val="left"/>
      <w:pPr>
        <w:tabs>
          <w:tab w:val="left" w:pos="312"/>
        </w:tabs>
        <w:ind w:left="0" w:firstLine="0"/>
      </w:pPr>
      <w:rPr>
        <w:rFonts w:hint="default" w:ascii="Times New Roman" w:hAnsi="Times New Roman"/>
      </w:rPr>
    </w:lvl>
    <w:lvl w:ilvl="3" w:tentative="0">
      <w:start w:val="1"/>
      <w:numFmt w:val="decimal"/>
      <w:lvlRestart w:val="0"/>
      <w:lvlText w:val="%1."/>
      <w:lvlJc w:val="left"/>
      <w:pPr>
        <w:tabs>
          <w:tab w:val="left" w:pos="312"/>
        </w:tabs>
        <w:ind w:left="0" w:firstLine="0"/>
      </w:pPr>
      <w:rPr>
        <w:rFonts w:hint="default" w:ascii="Times New Roman" w:hAnsi="Times New Roman"/>
      </w:rPr>
    </w:lvl>
    <w:lvl w:ilvl="4" w:tentative="0">
      <w:start w:val="1"/>
      <w:numFmt w:val="decimal"/>
      <w:lvlRestart w:val="0"/>
      <w:lvlText w:val="%1."/>
      <w:lvlJc w:val="left"/>
      <w:pPr>
        <w:tabs>
          <w:tab w:val="left" w:pos="312"/>
        </w:tabs>
        <w:ind w:left="0" w:firstLine="0"/>
      </w:pPr>
      <w:rPr>
        <w:rFonts w:hint="default" w:ascii="Times New Roman" w:hAnsi="Times New Roman"/>
      </w:rPr>
    </w:lvl>
    <w:lvl w:ilvl="5" w:tentative="0">
      <w:start w:val="1"/>
      <w:numFmt w:val="decimal"/>
      <w:lvlRestart w:val="0"/>
      <w:lvlText w:val="%1."/>
      <w:lvlJc w:val="left"/>
      <w:pPr>
        <w:tabs>
          <w:tab w:val="left" w:pos="312"/>
        </w:tabs>
        <w:ind w:left="0" w:firstLine="0"/>
      </w:pPr>
      <w:rPr>
        <w:rFonts w:hint="default" w:ascii="Times New Roman" w:hAnsi="Times New Roman"/>
      </w:rPr>
    </w:lvl>
    <w:lvl w:ilvl="6" w:tentative="0">
      <w:start w:val="1"/>
      <w:numFmt w:val="decimal"/>
      <w:lvlRestart w:val="0"/>
      <w:lvlText w:val="%1."/>
      <w:lvlJc w:val="left"/>
      <w:pPr>
        <w:tabs>
          <w:tab w:val="left" w:pos="312"/>
        </w:tabs>
        <w:ind w:left="0" w:firstLine="0"/>
      </w:pPr>
      <w:rPr>
        <w:rFonts w:hint="default" w:ascii="Times New Roman" w:hAnsi="Times New Roman"/>
      </w:rPr>
    </w:lvl>
    <w:lvl w:ilvl="7" w:tentative="0">
      <w:start w:val="1"/>
      <w:numFmt w:val="decimal"/>
      <w:lvlRestart w:val="0"/>
      <w:lvlText w:val="%1."/>
      <w:lvlJc w:val="left"/>
      <w:pPr>
        <w:tabs>
          <w:tab w:val="left" w:pos="312"/>
        </w:tabs>
        <w:ind w:left="0" w:firstLine="0"/>
      </w:pPr>
      <w:rPr>
        <w:rFonts w:hint="default" w:ascii="Times New Roman" w:hAnsi="Times New Roman"/>
      </w:rPr>
    </w:lvl>
    <w:lvl w:ilvl="8" w:tentative="0">
      <w:start w:val="1"/>
      <w:numFmt w:val="decimal"/>
      <w:lvlRestart w:val="0"/>
      <w:lvlText w:val="%1."/>
      <w:lvlJc w:val="left"/>
      <w:pPr>
        <w:tabs>
          <w:tab w:val="left" w:pos="312"/>
        </w:tabs>
        <w:ind w:left="0" w:firstLine="0"/>
      </w:pPr>
      <w:rPr>
        <w:rFonts w:hint="default" w:ascii="Times New Roman" w:hAnsi="Times New Roman"/>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635E8C"/>
    <w:rsid w:val="00000AB2"/>
    <w:rsid w:val="00005286"/>
    <w:rsid w:val="000056E2"/>
    <w:rsid w:val="00006021"/>
    <w:rsid w:val="00007F22"/>
    <w:rsid w:val="00011BAE"/>
    <w:rsid w:val="00017250"/>
    <w:rsid w:val="00020E2A"/>
    <w:rsid w:val="00021C2C"/>
    <w:rsid w:val="00021F1A"/>
    <w:rsid w:val="000248DA"/>
    <w:rsid w:val="00025191"/>
    <w:rsid w:val="00027E2C"/>
    <w:rsid w:val="00030803"/>
    <w:rsid w:val="00031295"/>
    <w:rsid w:val="00035916"/>
    <w:rsid w:val="00036EA2"/>
    <w:rsid w:val="000375C8"/>
    <w:rsid w:val="00042209"/>
    <w:rsid w:val="00043D72"/>
    <w:rsid w:val="00043E9C"/>
    <w:rsid w:val="00044C8E"/>
    <w:rsid w:val="00046642"/>
    <w:rsid w:val="00047485"/>
    <w:rsid w:val="00050454"/>
    <w:rsid w:val="00050C84"/>
    <w:rsid w:val="000525C4"/>
    <w:rsid w:val="000525FC"/>
    <w:rsid w:val="00057E14"/>
    <w:rsid w:val="000620C1"/>
    <w:rsid w:val="00063A46"/>
    <w:rsid w:val="00063F01"/>
    <w:rsid w:val="00065730"/>
    <w:rsid w:val="000670D2"/>
    <w:rsid w:val="00071AD3"/>
    <w:rsid w:val="00072B34"/>
    <w:rsid w:val="00077FF1"/>
    <w:rsid w:val="0008260D"/>
    <w:rsid w:val="00084213"/>
    <w:rsid w:val="00090F3C"/>
    <w:rsid w:val="00092EAB"/>
    <w:rsid w:val="00094953"/>
    <w:rsid w:val="0009502B"/>
    <w:rsid w:val="000965C8"/>
    <w:rsid w:val="000A0A64"/>
    <w:rsid w:val="000A0CEB"/>
    <w:rsid w:val="000A0F00"/>
    <w:rsid w:val="000A17C2"/>
    <w:rsid w:val="000A2D91"/>
    <w:rsid w:val="000A4D95"/>
    <w:rsid w:val="000A5056"/>
    <w:rsid w:val="000A5CB4"/>
    <w:rsid w:val="000A6D99"/>
    <w:rsid w:val="000B0617"/>
    <w:rsid w:val="000B0B13"/>
    <w:rsid w:val="000B1C93"/>
    <w:rsid w:val="000B4AC7"/>
    <w:rsid w:val="000C137F"/>
    <w:rsid w:val="000C4A5B"/>
    <w:rsid w:val="000D0C20"/>
    <w:rsid w:val="000D15AC"/>
    <w:rsid w:val="000D2628"/>
    <w:rsid w:val="000D3B5F"/>
    <w:rsid w:val="000D45ED"/>
    <w:rsid w:val="000D6947"/>
    <w:rsid w:val="000E03D4"/>
    <w:rsid w:val="000E23CE"/>
    <w:rsid w:val="000E2767"/>
    <w:rsid w:val="000E516F"/>
    <w:rsid w:val="000E5899"/>
    <w:rsid w:val="000F745A"/>
    <w:rsid w:val="001019F5"/>
    <w:rsid w:val="00101C73"/>
    <w:rsid w:val="001108FB"/>
    <w:rsid w:val="001130D6"/>
    <w:rsid w:val="0011488F"/>
    <w:rsid w:val="00114FFD"/>
    <w:rsid w:val="001154E2"/>
    <w:rsid w:val="00115699"/>
    <w:rsid w:val="0012055C"/>
    <w:rsid w:val="00120DDA"/>
    <w:rsid w:val="001222E0"/>
    <w:rsid w:val="00127421"/>
    <w:rsid w:val="0013212F"/>
    <w:rsid w:val="00133933"/>
    <w:rsid w:val="00135A7F"/>
    <w:rsid w:val="001367CD"/>
    <w:rsid w:val="00137FD8"/>
    <w:rsid w:val="00140FE5"/>
    <w:rsid w:val="00142C7D"/>
    <w:rsid w:val="00144991"/>
    <w:rsid w:val="00153382"/>
    <w:rsid w:val="001535F2"/>
    <w:rsid w:val="001542D8"/>
    <w:rsid w:val="001618A4"/>
    <w:rsid w:val="001642AF"/>
    <w:rsid w:val="0016475E"/>
    <w:rsid w:val="00167E65"/>
    <w:rsid w:val="00173260"/>
    <w:rsid w:val="00175103"/>
    <w:rsid w:val="001752B3"/>
    <w:rsid w:val="00175834"/>
    <w:rsid w:val="00180003"/>
    <w:rsid w:val="00180D32"/>
    <w:rsid w:val="00182F63"/>
    <w:rsid w:val="001863AB"/>
    <w:rsid w:val="00186F24"/>
    <w:rsid w:val="00187206"/>
    <w:rsid w:val="00190663"/>
    <w:rsid w:val="001911EE"/>
    <w:rsid w:val="00191ECC"/>
    <w:rsid w:val="001A2AAB"/>
    <w:rsid w:val="001A4185"/>
    <w:rsid w:val="001A5150"/>
    <w:rsid w:val="001A6395"/>
    <w:rsid w:val="001B0417"/>
    <w:rsid w:val="001B2670"/>
    <w:rsid w:val="001B3EF6"/>
    <w:rsid w:val="001C084F"/>
    <w:rsid w:val="001C30CD"/>
    <w:rsid w:val="001C7C88"/>
    <w:rsid w:val="001D1678"/>
    <w:rsid w:val="001D23A1"/>
    <w:rsid w:val="001E2689"/>
    <w:rsid w:val="001E2ECE"/>
    <w:rsid w:val="001E2F0F"/>
    <w:rsid w:val="001E4D1B"/>
    <w:rsid w:val="001E6BF8"/>
    <w:rsid w:val="001F394C"/>
    <w:rsid w:val="001F6430"/>
    <w:rsid w:val="00202372"/>
    <w:rsid w:val="00204F5F"/>
    <w:rsid w:val="002053F3"/>
    <w:rsid w:val="00205AC3"/>
    <w:rsid w:val="00206FBF"/>
    <w:rsid w:val="00207694"/>
    <w:rsid w:val="00207B74"/>
    <w:rsid w:val="00210830"/>
    <w:rsid w:val="00217828"/>
    <w:rsid w:val="00223B01"/>
    <w:rsid w:val="002246E0"/>
    <w:rsid w:val="002263D3"/>
    <w:rsid w:val="0022712E"/>
    <w:rsid w:val="00231E09"/>
    <w:rsid w:val="002344BC"/>
    <w:rsid w:val="0023597A"/>
    <w:rsid w:val="0023660D"/>
    <w:rsid w:val="0024034D"/>
    <w:rsid w:val="0024138E"/>
    <w:rsid w:val="00242763"/>
    <w:rsid w:val="00244BB8"/>
    <w:rsid w:val="00247292"/>
    <w:rsid w:val="00252FB8"/>
    <w:rsid w:val="00255FFF"/>
    <w:rsid w:val="00257CA1"/>
    <w:rsid w:val="002628D3"/>
    <w:rsid w:val="00262B3A"/>
    <w:rsid w:val="00270F65"/>
    <w:rsid w:val="00274D86"/>
    <w:rsid w:val="0027530E"/>
    <w:rsid w:val="00276512"/>
    <w:rsid w:val="002811D2"/>
    <w:rsid w:val="002872A7"/>
    <w:rsid w:val="002878AE"/>
    <w:rsid w:val="0028796A"/>
    <w:rsid w:val="002917D8"/>
    <w:rsid w:val="00294B52"/>
    <w:rsid w:val="002A3BA2"/>
    <w:rsid w:val="002B01C4"/>
    <w:rsid w:val="002B135E"/>
    <w:rsid w:val="002B2C47"/>
    <w:rsid w:val="002B3E84"/>
    <w:rsid w:val="002B561F"/>
    <w:rsid w:val="002B6FF6"/>
    <w:rsid w:val="002B7855"/>
    <w:rsid w:val="002C07F2"/>
    <w:rsid w:val="002C1731"/>
    <w:rsid w:val="002C459C"/>
    <w:rsid w:val="002C47BE"/>
    <w:rsid w:val="002C4909"/>
    <w:rsid w:val="002C5126"/>
    <w:rsid w:val="002D0ABF"/>
    <w:rsid w:val="002D0F12"/>
    <w:rsid w:val="002D3718"/>
    <w:rsid w:val="002D4815"/>
    <w:rsid w:val="002D4B3D"/>
    <w:rsid w:val="002E256A"/>
    <w:rsid w:val="002E52E1"/>
    <w:rsid w:val="002F4560"/>
    <w:rsid w:val="002F5BDC"/>
    <w:rsid w:val="002F63D1"/>
    <w:rsid w:val="002F6BD6"/>
    <w:rsid w:val="00302703"/>
    <w:rsid w:val="00302EB7"/>
    <w:rsid w:val="00305EE1"/>
    <w:rsid w:val="003064C7"/>
    <w:rsid w:val="003103A0"/>
    <w:rsid w:val="00310689"/>
    <w:rsid w:val="00310AD0"/>
    <w:rsid w:val="00313A4A"/>
    <w:rsid w:val="00315992"/>
    <w:rsid w:val="00315A09"/>
    <w:rsid w:val="00316A21"/>
    <w:rsid w:val="0032111D"/>
    <w:rsid w:val="00321489"/>
    <w:rsid w:val="00322B4B"/>
    <w:rsid w:val="003275F2"/>
    <w:rsid w:val="0033133B"/>
    <w:rsid w:val="00331BB3"/>
    <w:rsid w:val="00334052"/>
    <w:rsid w:val="003340DA"/>
    <w:rsid w:val="00340CCE"/>
    <w:rsid w:val="0034286A"/>
    <w:rsid w:val="003431D2"/>
    <w:rsid w:val="0034370A"/>
    <w:rsid w:val="00344DAC"/>
    <w:rsid w:val="003511C3"/>
    <w:rsid w:val="00352A21"/>
    <w:rsid w:val="00353776"/>
    <w:rsid w:val="00356026"/>
    <w:rsid w:val="00357A18"/>
    <w:rsid w:val="00361B2B"/>
    <w:rsid w:val="00362AAF"/>
    <w:rsid w:val="00363549"/>
    <w:rsid w:val="00363D40"/>
    <w:rsid w:val="0036525B"/>
    <w:rsid w:val="00366C18"/>
    <w:rsid w:val="00367D0A"/>
    <w:rsid w:val="003705AF"/>
    <w:rsid w:val="00371A5F"/>
    <w:rsid w:val="00372BA9"/>
    <w:rsid w:val="00374C2E"/>
    <w:rsid w:val="00375074"/>
    <w:rsid w:val="003826E4"/>
    <w:rsid w:val="00384A2F"/>
    <w:rsid w:val="00385CDD"/>
    <w:rsid w:val="003918AF"/>
    <w:rsid w:val="00394CB3"/>
    <w:rsid w:val="00394F87"/>
    <w:rsid w:val="0039568D"/>
    <w:rsid w:val="003A0D66"/>
    <w:rsid w:val="003A1FA9"/>
    <w:rsid w:val="003A2C0B"/>
    <w:rsid w:val="003A439C"/>
    <w:rsid w:val="003B0A01"/>
    <w:rsid w:val="003B20F2"/>
    <w:rsid w:val="003B2740"/>
    <w:rsid w:val="003B2CCD"/>
    <w:rsid w:val="003B3504"/>
    <w:rsid w:val="003B7C06"/>
    <w:rsid w:val="003C01C6"/>
    <w:rsid w:val="003C08D9"/>
    <w:rsid w:val="003C14E6"/>
    <w:rsid w:val="003C3D5F"/>
    <w:rsid w:val="003C509A"/>
    <w:rsid w:val="003C5782"/>
    <w:rsid w:val="003C60BE"/>
    <w:rsid w:val="003C7986"/>
    <w:rsid w:val="003D13E9"/>
    <w:rsid w:val="003D1910"/>
    <w:rsid w:val="003D1F43"/>
    <w:rsid w:val="003D3083"/>
    <w:rsid w:val="003D5057"/>
    <w:rsid w:val="003D6263"/>
    <w:rsid w:val="003D7788"/>
    <w:rsid w:val="003E00EE"/>
    <w:rsid w:val="003E0260"/>
    <w:rsid w:val="003E1096"/>
    <w:rsid w:val="003E13C8"/>
    <w:rsid w:val="003E62A5"/>
    <w:rsid w:val="003E774D"/>
    <w:rsid w:val="003E7E30"/>
    <w:rsid w:val="003F00DE"/>
    <w:rsid w:val="003F136A"/>
    <w:rsid w:val="003F4A1F"/>
    <w:rsid w:val="003F7FAE"/>
    <w:rsid w:val="004006D4"/>
    <w:rsid w:val="00402990"/>
    <w:rsid w:val="00402AF8"/>
    <w:rsid w:val="004043D2"/>
    <w:rsid w:val="00405EA0"/>
    <w:rsid w:val="00405F5E"/>
    <w:rsid w:val="00406340"/>
    <w:rsid w:val="00414736"/>
    <w:rsid w:val="00421A0A"/>
    <w:rsid w:val="00423F58"/>
    <w:rsid w:val="00424279"/>
    <w:rsid w:val="00425526"/>
    <w:rsid w:val="00425C93"/>
    <w:rsid w:val="00426937"/>
    <w:rsid w:val="00433E32"/>
    <w:rsid w:val="00433ECD"/>
    <w:rsid w:val="0043401B"/>
    <w:rsid w:val="0043402F"/>
    <w:rsid w:val="00437197"/>
    <w:rsid w:val="00437CA9"/>
    <w:rsid w:val="00446CE5"/>
    <w:rsid w:val="00450A7A"/>
    <w:rsid w:val="004515A1"/>
    <w:rsid w:val="00452571"/>
    <w:rsid w:val="00460480"/>
    <w:rsid w:val="00461BF2"/>
    <w:rsid w:val="0046362D"/>
    <w:rsid w:val="00463EA4"/>
    <w:rsid w:val="0046693F"/>
    <w:rsid w:val="004679E6"/>
    <w:rsid w:val="00467B4E"/>
    <w:rsid w:val="004708A6"/>
    <w:rsid w:val="00470DAE"/>
    <w:rsid w:val="004714A5"/>
    <w:rsid w:val="00473A38"/>
    <w:rsid w:val="004806C0"/>
    <w:rsid w:val="004826DA"/>
    <w:rsid w:val="004839F4"/>
    <w:rsid w:val="00490D18"/>
    <w:rsid w:val="004911D4"/>
    <w:rsid w:val="00491E26"/>
    <w:rsid w:val="0049235D"/>
    <w:rsid w:val="004A56AA"/>
    <w:rsid w:val="004B3A6C"/>
    <w:rsid w:val="004B4B44"/>
    <w:rsid w:val="004B5154"/>
    <w:rsid w:val="004B6CEA"/>
    <w:rsid w:val="004B7737"/>
    <w:rsid w:val="004C00D6"/>
    <w:rsid w:val="004C3AD8"/>
    <w:rsid w:val="004C5E93"/>
    <w:rsid w:val="004D1D1D"/>
    <w:rsid w:val="004D534F"/>
    <w:rsid w:val="004D60DE"/>
    <w:rsid w:val="004D74AE"/>
    <w:rsid w:val="004E319F"/>
    <w:rsid w:val="004E34F9"/>
    <w:rsid w:val="004E4146"/>
    <w:rsid w:val="004E75FA"/>
    <w:rsid w:val="004E7F02"/>
    <w:rsid w:val="004F58DD"/>
    <w:rsid w:val="004F604A"/>
    <w:rsid w:val="004F6E5F"/>
    <w:rsid w:val="00502CF6"/>
    <w:rsid w:val="00510D21"/>
    <w:rsid w:val="005142B6"/>
    <w:rsid w:val="005148DF"/>
    <w:rsid w:val="0051589C"/>
    <w:rsid w:val="00516074"/>
    <w:rsid w:val="00517A81"/>
    <w:rsid w:val="00522789"/>
    <w:rsid w:val="005236F5"/>
    <w:rsid w:val="0052376E"/>
    <w:rsid w:val="005238A5"/>
    <w:rsid w:val="00525C26"/>
    <w:rsid w:val="0052651B"/>
    <w:rsid w:val="005267B7"/>
    <w:rsid w:val="005303FA"/>
    <w:rsid w:val="005323FC"/>
    <w:rsid w:val="00532E68"/>
    <w:rsid w:val="00537368"/>
    <w:rsid w:val="005438E5"/>
    <w:rsid w:val="0054703D"/>
    <w:rsid w:val="00547848"/>
    <w:rsid w:val="00555BF3"/>
    <w:rsid w:val="00556DBB"/>
    <w:rsid w:val="005573DF"/>
    <w:rsid w:val="005639B1"/>
    <w:rsid w:val="00563BE0"/>
    <w:rsid w:val="00567424"/>
    <w:rsid w:val="00571067"/>
    <w:rsid w:val="0057248D"/>
    <w:rsid w:val="005751F6"/>
    <w:rsid w:val="00577843"/>
    <w:rsid w:val="005779E8"/>
    <w:rsid w:val="00580410"/>
    <w:rsid w:val="00581347"/>
    <w:rsid w:val="0058152E"/>
    <w:rsid w:val="00594163"/>
    <w:rsid w:val="00594AD5"/>
    <w:rsid w:val="005975A8"/>
    <w:rsid w:val="005A6F6E"/>
    <w:rsid w:val="005B0088"/>
    <w:rsid w:val="005B0F53"/>
    <w:rsid w:val="005B336F"/>
    <w:rsid w:val="005B3A9F"/>
    <w:rsid w:val="005B3E26"/>
    <w:rsid w:val="005B6112"/>
    <w:rsid w:val="005C26C3"/>
    <w:rsid w:val="005C4425"/>
    <w:rsid w:val="005C6E5A"/>
    <w:rsid w:val="005D0330"/>
    <w:rsid w:val="005D1BC5"/>
    <w:rsid w:val="005D6129"/>
    <w:rsid w:val="005E1AB9"/>
    <w:rsid w:val="005E3CB5"/>
    <w:rsid w:val="005E574D"/>
    <w:rsid w:val="005E6EC7"/>
    <w:rsid w:val="005F42D7"/>
    <w:rsid w:val="005F536D"/>
    <w:rsid w:val="005F5403"/>
    <w:rsid w:val="005F59DF"/>
    <w:rsid w:val="006005D8"/>
    <w:rsid w:val="00601187"/>
    <w:rsid w:val="00603E5F"/>
    <w:rsid w:val="006040D0"/>
    <w:rsid w:val="00605E82"/>
    <w:rsid w:val="006078E0"/>
    <w:rsid w:val="0061193A"/>
    <w:rsid w:val="00614E30"/>
    <w:rsid w:val="00615342"/>
    <w:rsid w:val="00615795"/>
    <w:rsid w:val="00616D81"/>
    <w:rsid w:val="00623B5C"/>
    <w:rsid w:val="00625CBB"/>
    <w:rsid w:val="0063275B"/>
    <w:rsid w:val="00632D6A"/>
    <w:rsid w:val="00633B2D"/>
    <w:rsid w:val="00634388"/>
    <w:rsid w:val="006357AE"/>
    <w:rsid w:val="0064140F"/>
    <w:rsid w:val="00642C13"/>
    <w:rsid w:val="00644EB3"/>
    <w:rsid w:val="00646662"/>
    <w:rsid w:val="00651847"/>
    <w:rsid w:val="006559AC"/>
    <w:rsid w:val="00656203"/>
    <w:rsid w:val="00656A33"/>
    <w:rsid w:val="00657E33"/>
    <w:rsid w:val="006611D3"/>
    <w:rsid w:val="006620C2"/>
    <w:rsid w:val="00662310"/>
    <w:rsid w:val="00665586"/>
    <w:rsid w:val="00671B8F"/>
    <w:rsid w:val="00673FA9"/>
    <w:rsid w:val="00675928"/>
    <w:rsid w:val="00675AF7"/>
    <w:rsid w:val="00677FB5"/>
    <w:rsid w:val="00681194"/>
    <w:rsid w:val="00691238"/>
    <w:rsid w:val="006918F9"/>
    <w:rsid w:val="00692B96"/>
    <w:rsid w:val="00697214"/>
    <w:rsid w:val="00697E25"/>
    <w:rsid w:val="006A3CAB"/>
    <w:rsid w:val="006A46C3"/>
    <w:rsid w:val="006A4BB2"/>
    <w:rsid w:val="006A5097"/>
    <w:rsid w:val="006A60D5"/>
    <w:rsid w:val="006A6EBC"/>
    <w:rsid w:val="006B15C8"/>
    <w:rsid w:val="006B1917"/>
    <w:rsid w:val="006B3D34"/>
    <w:rsid w:val="006B530F"/>
    <w:rsid w:val="006B66D0"/>
    <w:rsid w:val="006C0CD8"/>
    <w:rsid w:val="006C4169"/>
    <w:rsid w:val="006D29BA"/>
    <w:rsid w:val="006E1CB1"/>
    <w:rsid w:val="006E45DC"/>
    <w:rsid w:val="006E4E8E"/>
    <w:rsid w:val="006E7FB0"/>
    <w:rsid w:val="006F1857"/>
    <w:rsid w:val="006F25FE"/>
    <w:rsid w:val="006F3921"/>
    <w:rsid w:val="006F4030"/>
    <w:rsid w:val="006F5CCE"/>
    <w:rsid w:val="006F5EC5"/>
    <w:rsid w:val="00703654"/>
    <w:rsid w:val="00710E61"/>
    <w:rsid w:val="00710FD0"/>
    <w:rsid w:val="007125CB"/>
    <w:rsid w:val="007206FA"/>
    <w:rsid w:val="007214D5"/>
    <w:rsid w:val="00725F9A"/>
    <w:rsid w:val="00730982"/>
    <w:rsid w:val="0073116F"/>
    <w:rsid w:val="007312C8"/>
    <w:rsid w:val="0073282D"/>
    <w:rsid w:val="0073328D"/>
    <w:rsid w:val="00733C21"/>
    <w:rsid w:val="00734F58"/>
    <w:rsid w:val="00742D35"/>
    <w:rsid w:val="00746255"/>
    <w:rsid w:val="007544F4"/>
    <w:rsid w:val="00754EFA"/>
    <w:rsid w:val="00761CF3"/>
    <w:rsid w:val="00762AC3"/>
    <w:rsid w:val="0076319D"/>
    <w:rsid w:val="00764FA4"/>
    <w:rsid w:val="00765EDC"/>
    <w:rsid w:val="00766E77"/>
    <w:rsid w:val="0077146F"/>
    <w:rsid w:val="00772F7F"/>
    <w:rsid w:val="0077354F"/>
    <w:rsid w:val="007759D3"/>
    <w:rsid w:val="00776963"/>
    <w:rsid w:val="00776B22"/>
    <w:rsid w:val="0078090D"/>
    <w:rsid w:val="00786451"/>
    <w:rsid w:val="00786C47"/>
    <w:rsid w:val="00790213"/>
    <w:rsid w:val="0079457B"/>
    <w:rsid w:val="00794A62"/>
    <w:rsid w:val="007974E3"/>
    <w:rsid w:val="007A1428"/>
    <w:rsid w:val="007A1753"/>
    <w:rsid w:val="007A1DCF"/>
    <w:rsid w:val="007A65EE"/>
    <w:rsid w:val="007B1A1F"/>
    <w:rsid w:val="007B1DA2"/>
    <w:rsid w:val="007B4809"/>
    <w:rsid w:val="007B48B0"/>
    <w:rsid w:val="007C18CD"/>
    <w:rsid w:val="007C1B33"/>
    <w:rsid w:val="007C29C3"/>
    <w:rsid w:val="007C4ABC"/>
    <w:rsid w:val="007C5EE9"/>
    <w:rsid w:val="007D0783"/>
    <w:rsid w:val="007D22E2"/>
    <w:rsid w:val="007D4435"/>
    <w:rsid w:val="007D4660"/>
    <w:rsid w:val="007D50DA"/>
    <w:rsid w:val="007D771B"/>
    <w:rsid w:val="007D7B9B"/>
    <w:rsid w:val="007E0F2C"/>
    <w:rsid w:val="007E1846"/>
    <w:rsid w:val="007E1BEA"/>
    <w:rsid w:val="007E2622"/>
    <w:rsid w:val="007E31B5"/>
    <w:rsid w:val="007E6CD8"/>
    <w:rsid w:val="007E7AB0"/>
    <w:rsid w:val="007F1111"/>
    <w:rsid w:val="007F148A"/>
    <w:rsid w:val="007F51A9"/>
    <w:rsid w:val="007F557C"/>
    <w:rsid w:val="007F6CD8"/>
    <w:rsid w:val="007F7F63"/>
    <w:rsid w:val="00800B42"/>
    <w:rsid w:val="008055EF"/>
    <w:rsid w:val="00805C46"/>
    <w:rsid w:val="008063D8"/>
    <w:rsid w:val="00813717"/>
    <w:rsid w:val="00814E92"/>
    <w:rsid w:val="00814F86"/>
    <w:rsid w:val="00815E4B"/>
    <w:rsid w:val="00817BD3"/>
    <w:rsid w:val="00821D13"/>
    <w:rsid w:val="00822226"/>
    <w:rsid w:val="0082274D"/>
    <w:rsid w:val="0082396C"/>
    <w:rsid w:val="0083254D"/>
    <w:rsid w:val="00833CAB"/>
    <w:rsid w:val="00833FD7"/>
    <w:rsid w:val="0083616D"/>
    <w:rsid w:val="0083698B"/>
    <w:rsid w:val="00842EC9"/>
    <w:rsid w:val="00846D11"/>
    <w:rsid w:val="00847825"/>
    <w:rsid w:val="00850266"/>
    <w:rsid w:val="0085075A"/>
    <w:rsid w:val="00853441"/>
    <w:rsid w:val="00856C9A"/>
    <w:rsid w:val="00857806"/>
    <w:rsid w:val="00861AED"/>
    <w:rsid w:val="00861FCA"/>
    <w:rsid w:val="00862244"/>
    <w:rsid w:val="00864D2D"/>
    <w:rsid w:val="00864EF3"/>
    <w:rsid w:val="00864F19"/>
    <w:rsid w:val="00866A5F"/>
    <w:rsid w:val="00866AE6"/>
    <w:rsid w:val="0087172E"/>
    <w:rsid w:val="00875034"/>
    <w:rsid w:val="008758A9"/>
    <w:rsid w:val="00877875"/>
    <w:rsid w:val="00880FD1"/>
    <w:rsid w:val="00882A3A"/>
    <w:rsid w:val="00883522"/>
    <w:rsid w:val="00883D96"/>
    <w:rsid w:val="00884BE6"/>
    <w:rsid w:val="00885142"/>
    <w:rsid w:val="00892759"/>
    <w:rsid w:val="00892D45"/>
    <w:rsid w:val="00893D16"/>
    <w:rsid w:val="008947DB"/>
    <w:rsid w:val="008948C5"/>
    <w:rsid w:val="0089762E"/>
    <w:rsid w:val="00897CBF"/>
    <w:rsid w:val="008A1336"/>
    <w:rsid w:val="008A2253"/>
    <w:rsid w:val="008A2648"/>
    <w:rsid w:val="008A3AB4"/>
    <w:rsid w:val="008A4173"/>
    <w:rsid w:val="008A4737"/>
    <w:rsid w:val="008A542B"/>
    <w:rsid w:val="008A583E"/>
    <w:rsid w:val="008A707E"/>
    <w:rsid w:val="008B2E7E"/>
    <w:rsid w:val="008B3A2E"/>
    <w:rsid w:val="008B452B"/>
    <w:rsid w:val="008B6AEF"/>
    <w:rsid w:val="008B7343"/>
    <w:rsid w:val="008C0510"/>
    <w:rsid w:val="008C1EF4"/>
    <w:rsid w:val="008C7916"/>
    <w:rsid w:val="008D29B6"/>
    <w:rsid w:val="008D2F38"/>
    <w:rsid w:val="008D387D"/>
    <w:rsid w:val="008D3C3A"/>
    <w:rsid w:val="008D5676"/>
    <w:rsid w:val="008D6200"/>
    <w:rsid w:val="008D6674"/>
    <w:rsid w:val="008D7023"/>
    <w:rsid w:val="008E2901"/>
    <w:rsid w:val="008E5CB8"/>
    <w:rsid w:val="009012C5"/>
    <w:rsid w:val="00902890"/>
    <w:rsid w:val="00902C27"/>
    <w:rsid w:val="0090437D"/>
    <w:rsid w:val="00904C72"/>
    <w:rsid w:val="00905C9F"/>
    <w:rsid w:val="00911879"/>
    <w:rsid w:val="00913A9C"/>
    <w:rsid w:val="00917536"/>
    <w:rsid w:val="00917E8A"/>
    <w:rsid w:val="00921209"/>
    <w:rsid w:val="009240A0"/>
    <w:rsid w:val="009256F5"/>
    <w:rsid w:val="0092716C"/>
    <w:rsid w:val="009316AC"/>
    <w:rsid w:val="0093255F"/>
    <w:rsid w:val="009347DC"/>
    <w:rsid w:val="00934B24"/>
    <w:rsid w:val="0093534A"/>
    <w:rsid w:val="00936FE9"/>
    <w:rsid w:val="0093708A"/>
    <w:rsid w:val="0093716F"/>
    <w:rsid w:val="00937D12"/>
    <w:rsid w:val="009419E5"/>
    <w:rsid w:val="00945519"/>
    <w:rsid w:val="00947020"/>
    <w:rsid w:val="0095194B"/>
    <w:rsid w:val="00951B21"/>
    <w:rsid w:val="00954A33"/>
    <w:rsid w:val="00955E8D"/>
    <w:rsid w:val="0096193C"/>
    <w:rsid w:val="009619FD"/>
    <w:rsid w:val="00962BE0"/>
    <w:rsid w:val="009634C6"/>
    <w:rsid w:val="00966D1E"/>
    <w:rsid w:val="00970500"/>
    <w:rsid w:val="0097253F"/>
    <w:rsid w:val="00974A1E"/>
    <w:rsid w:val="00975162"/>
    <w:rsid w:val="0098390B"/>
    <w:rsid w:val="0098566C"/>
    <w:rsid w:val="00985ED7"/>
    <w:rsid w:val="00986988"/>
    <w:rsid w:val="009876C6"/>
    <w:rsid w:val="009905D4"/>
    <w:rsid w:val="009948DD"/>
    <w:rsid w:val="00995C88"/>
    <w:rsid w:val="009A01C9"/>
    <w:rsid w:val="009A0814"/>
    <w:rsid w:val="009A1810"/>
    <w:rsid w:val="009A694C"/>
    <w:rsid w:val="009B1EAE"/>
    <w:rsid w:val="009B419B"/>
    <w:rsid w:val="009C1D38"/>
    <w:rsid w:val="009C2624"/>
    <w:rsid w:val="009C3588"/>
    <w:rsid w:val="009C4612"/>
    <w:rsid w:val="009C7C14"/>
    <w:rsid w:val="009D05E9"/>
    <w:rsid w:val="009D29D3"/>
    <w:rsid w:val="009D3BF2"/>
    <w:rsid w:val="009D4806"/>
    <w:rsid w:val="009D4D39"/>
    <w:rsid w:val="009D4F04"/>
    <w:rsid w:val="009E0D89"/>
    <w:rsid w:val="009E5F10"/>
    <w:rsid w:val="009E72E6"/>
    <w:rsid w:val="009F23C0"/>
    <w:rsid w:val="009F4D25"/>
    <w:rsid w:val="009F7B12"/>
    <w:rsid w:val="00A00959"/>
    <w:rsid w:val="00A01110"/>
    <w:rsid w:val="00A01CC2"/>
    <w:rsid w:val="00A04455"/>
    <w:rsid w:val="00A0636D"/>
    <w:rsid w:val="00A07395"/>
    <w:rsid w:val="00A07833"/>
    <w:rsid w:val="00A10582"/>
    <w:rsid w:val="00A13257"/>
    <w:rsid w:val="00A15C1D"/>
    <w:rsid w:val="00A1772A"/>
    <w:rsid w:val="00A21111"/>
    <w:rsid w:val="00A23831"/>
    <w:rsid w:val="00A30D34"/>
    <w:rsid w:val="00A30F30"/>
    <w:rsid w:val="00A3413D"/>
    <w:rsid w:val="00A41825"/>
    <w:rsid w:val="00A45129"/>
    <w:rsid w:val="00A46EC9"/>
    <w:rsid w:val="00A475BE"/>
    <w:rsid w:val="00A476E0"/>
    <w:rsid w:val="00A52E65"/>
    <w:rsid w:val="00A53C7D"/>
    <w:rsid w:val="00A54337"/>
    <w:rsid w:val="00A5693C"/>
    <w:rsid w:val="00A56ADE"/>
    <w:rsid w:val="00A60C54"/>
    <w:rsid w:val="00A61902"/>
    <w:rsid w:val="00A622F4"/>
    <w:rsid w:val="00A64A94"/>
    <w:rsid w:val="00A72383"/>
    <w:rsid w:val="00A72814"/>
    <w:rsid w:val="00A763A3"/>
    <w:rsid w:val="00A76557"/>
    <w:rsid w:val="00A836C6"/>
    <w:rsid w:val="00A84418"/>
    <w:rsid w:val="00A86727"/>
    <w:rsid w:val="00A87F52"/>
    <w:rsid w:val="00A95360"/>
    <w:rsid w:val="00AA07B7"/>
    <w:rsid w:val="00AA3009"/>
    <w:rsid w:val="00AA47DE"/>
    <w:rsid w:val="00AA4AC6"/>
    <w:rsid w:val="00AA6A8A"/>
    <w:rsid w:val="00AA7D8B"/>
    <w:rsid w:val="00AB104A"/>
    <w:rsid w:val="00AB45BC"/>
    <w:rsid w:val="00AB76E7"/>
    <w:rsid w:val="00AC0431"/>
    <w:rsid w:val="00AC1C12"/>
    <w:rsid w:val="00AC1C45"/>
    <w:rsid w:val="00AC2857"/>
    <w:rsid w:val="00AC2E5E"/>
    <w:rsid w:val="00AD0FD3"/>
    <w:rsid w:val="00AD1EDB"/>
    <w:rsid w:val="00AD3361"/>
    <w:rsid w:val="00AD3643"/>
    <w:rsid w:val="00AE0733"/>
    <w:rsid w:val="00AE16A3"/>
    <w:rsid w:val="00AE4190"/>
    <w:rsid w:val="00AE7F9A"/>
    <w:rsid w:val="00AF6EE3"/>
    <w:rsid w:val="00B01912"/>
    <w:rsid w:val="00B019C6"/>
    <w:rsid w:val="00B01CCE"/>
    <w:rsid w:val="00B0456E"/>
    <w:rsid w:val="00B069A6"/>
    <w:rsid w:val="00B06B7F"/>
    <w:rsid w:val="00B06C89"/>
    <w:rsid w:val="00B1036B"/>
    <w:rsid w:val="00B10C4B"/>
    <w:rsid w:val="00B11337"/>
    <w:rsid w:val="00B12A1D"/>
    <w:rsid w:val="00B16CDB"/>
    <w:rsid w:val="00B25C08"/>
    <w:rsid w:val="00B277DA"/>
    <w:rsid w:val="00B30E74"/>
    <w:rsid w:val="00B318B4"/>
    <w:rsid w:val="00B31969"/>
    <w:rsid w:val="00B35BD5"/>
    <w:rsid w:val="00B3687F"/>
    <w:rsid w:val="00B371D4"/>
    <w:rsid w:val="00B402A7"/>
    <w:rsid w:val="00B41891"/>
    <w:rsid w:val="00B47E44"/>
    <w:rsid w:val="00B53659"/>
    <w:rsid w:val="00B54F52"/>
    <w:rsid w:val="00B55A72"/>
    <w:rsid w:val="00B56135"/>
    <w:rsid w:val="00B56302"/>
    <w:rsid w:val="00B62DBA"/>
    <w:rsid w:val="00B67ADD"/>
    <w:rsid w:val="00B67AF8"/>
    <w:rsid w:val="00B67CA0"/>
    <w:rsid w:val="00B70761"/>
    <w:rsid w:val="00B7121D"/>
    <w:rsid w:val="00B80E2A"/>
    <w:rsid w:val="00B8242F"/>
    <w:rsid w:val="00B82581"/>
    <w:rsid w:val="00B879F6"/>
    <w:rsid w:val="00B97880"/>
    <w:rsid w:val="00BA0837"/>
    <w:rsid w:val="00BA0DDA"/>
    <w:rsid w:val="00BA1C60"/>
    <w:rsid w:val="00BA25A6"/>
    <w:rsid w:val="00BA4A25"/>
    <w:rsid w:val="00BA5F82"/>
    <w:rsid w:val="00BA7FC9"/>
    <w:rsid w:val="00BB0500"/>
    <w:rsid w:val="00BB1D56"/>
    <w:rsid w:val="00BB7EF9"/>
    <w:rsid w:val="00BC12C7"/>
    <w:rsid w:val="00BC180B"/>
    <w:rsid w:val="00BC1889"/>
    <w:rsid w:val="00BC3214"/>
    <w:rsid w:val="00BC3B13"/>
    <w:rsid w:val="00BC583B"/>
    <w:rsid w:val="00BC5919"/>
    <w:rsid w:val="00BC61F7"/>
    <w:rsid w:val="00BC66BC"/>
    <w:rsid w:val="00BC7AC8"/>
    <w:rsid w:val="00BD3857"/>
    <w:rsid w:val="00BD7564"/>
    <w:rsid w:val="00BD78F3"/>
    <w:rsid w:val="00BE331E"/>
    <w:rsid w:val="00BE4475"/>
    <w:rsid w:val="00BE520D"/>
    <w:rsid w:val="00BE7C2B"/>
    <w:rsid w:val="00BF0519"/>
    <w:rsid w:val="00BF3619"/>
    <w:rsid w:val="00BF6080"/>
    <w:rsid w:val="00BF7FAB"/>
    <w:rsid w:val="00C00B9C"/>
    <w:rsid w:val="00C10FF2"/>
    <w:rsid w:val="00C11353"/>
    <w:rsid w:val="00C126B3"/>
    <w:rsid w:val="00C138D3"/>
    <w:rsid w:val="00C14C39"/>
    <w:rsid w:val="00C15F86"/>
    <w:rsid w:val="00C1653C"/>
    <w:rsid w:val="00C20F80"/>
    <w:rsid w:val="00C23C84"/>
    <w:rsid w:val="00C304F0"/>
    <w:rsid w:val="00C3199F"/>
    <w:rsid w:val="00C401B3"/>
    <w:rsid w:val="00C41158"/>
    <w:rsid w:val="00C41751"/>
    <w:rsid w:val="00C4448C"/>
    <w:rsid w:val="00C46F22"/>
    <w:rsid w:val="00C47A71"/>
    <w:rsid w:val="00C47FF8"/>
    <w:rsid w:val="00C540EC"/>
    <w:rsid w:val="00C55D53"/>
    <w:rsid w:val="00C5668D"/>
    <w:rsid w:val="00C63459"/>
    <w:rsid w:val="00C63A7F"/>
    <w:rsid w:val="00C6458B"/>
    <w:rsid w:val="00C66550"/>
    <w:rsid w:val="00C7318A"/>
    <w:rsid w:val="00C73439"/>
    <w:rsid w:val="00C82022"/>
    <w:rsid w:val="00C836C4"/>
    <w:rsid w:val="00C83982"/>
    <w:rsid w:val="00C843FA"/>
    <w:rsid w:val="00C8637C"/>
    <w:rsid w:val="00C87970"/>
    <w:rsid w:val="00C932E5"/>
    <w:rsid w:val="00C95F63"/>
    <w:rsid w:val="00C9746D"/>
    <w:rsid w:val="00CA003F"/>
    <w:rsid w:val="00CA0114"/>
    <w:rsid w:val="00CA0DF7"/>
    <w:rsid w:val="00CA3CCE"/>
    <w:rsid w:val="00CB14BD"/>
    <w:rsid w:val="00CB1886"/>
    <w:rsid w:val="00CC233D"/>
    <w:rsid w:val="00CC250A"/>
    <w:rsid w:val="00CC2653"/>
    <w:rsid w:val="00CC587E"/>
    <w:rsid w:val="00CC6946"/>
    <w:rsid w:val="00CD073C"/>
    <w:rsid w:val="00CD0B07"/>
    <w:rsid w:val="00CD6563"/>
    <w:rsid w:val="00CE5DE4"/>
    <w:rsid w:val="00CE7BE0"/>
    <w:rsid w:val="00CE7C9C"/>
    <w:rsid w:val="00CF2898"/>
    <w:rsid w:val="00CF2BDC"/>
    <w:rsid w:val="00CF5BAD"/>
    <w:rsid w:val="00CF5C8A"/>
    <w:rsid w:val="00CF713F"/>
    <w:rsid w:val="00D005AB"/>
    <w:rsid w:val="00D0317A"/>
    <w:rsid w:val="00D04C77"/>
    <w:rsid w:val="00D0531E"/>
    <w:rsid w:val="00D135C3"/>
    <w:rsid w:val="00D17D5B"/>
    <w:rsid w:val="00D22247"/>
    <w:rsid w:val="00D23337"/>
    <w:rsid w:val="00D245A2"/>
    <w:rsid w:val="00D3392C"/>
    <w:rsid w:val="00D347E9"/>
    <w:rsid w:val="00D3639C"/>
    <w:rsid w:val="00D43B16"/>
    <w:rsid w:val="00D43DB2"/>
    <w:rsid w:val="00D47B09"/>
    <w:rsid w:val="00D523E2"/>
    <w:rsid w:val="00D565BD"/>
    <w:rsid w:val="00D5676E"/>
    <w:rsid w:val="00D6103E"/>
    <w:rsid w:val="00D67962"/>
    <w:rsid w:val="00D7026A"/>
    <w:rsid w:val="00D71284"/>
    <w:rsid w:val="00D716A2"/>
    <w:rsid w:val="00D7295D"/>
    <w:rsid w:val="00D7388F"/>
    <w:rsid w:val="00D73966"/>
    <w:rsid w:val="00D73AF3"/>
    <w:rsid w:val="00D8286A"/>
    <w:rsid w:val="00D8393C"/>
    <w:rsid w:val="00D9161A"/>
    <w:rsid w:val="00D9183A"/>
    <w:rsid w:val="00D930B5"/>
    <w:rsid w:val="00D9359C"/>
    <w:rsid w:val="00DA2267"/>
    <w:rsid w:val="00DA4C86"/>
    <w:rsid w:val="00DA5811"/>
    <w:rsid w:val="00DA5EE6"/>
    <w:rsid w:val="00DB0B27"/>
    <w:rsid w:val="00DB1097"/>
    <w:rsid w:val="00DB247D"/>
    <w:rsid w:val="00DB2D62"/>
    <w:rsid w:val="00DB2E52"/>
    <w:rsid w:val="00DB335C"/>
    <w:rsid w:val="00DC084C"/>
    <w:rsid w:val="00DC13CC"/>
    <w:rsid w:val="00DD05EE"/>
    <w:rsid w:val="00DD0C28"/>
    <w:rsid w:val="00DD244D"/>
    <w:rsid w:val="00DD2B53"/>
    <w:rsid w:val="00DD34DD"/>
    <w:rsid w:val="00DD492D"/>
    <w:rsid w:val="00DD5194"/>
    <w:rsid w:val="00DD7180"/>
    <w:rsid w:val="00DF4661"/>
    <w:rsid w:val="00DF4C65"/>
    <w:rsid w:val="00DF5B86"/>
    <w:rsid w:val="00E02A36"/>
    <w:rsid w:val="00E03D00"/>
    <w:rsid w:val="00E05B42"/>
    <w:rsid w:val="00E07F81"/>
    <w:rsid w:val="00E126C5"/>
    <w:rsid w:val="00E12DAC"/>
    <w:rsid w:val="00E131B7"/>
    <w:rsid w:val="00E137DF"/>
    <w:rsid w:val="00E159BB"/>
    <w:rsid w:val="00E2147B"/>
    <w:rsid w:val="00E269DC"/>
    <w:rsid w:val="00E27A19"/>
    <w:rsid w:val="00E32E6F"/>
    <w:rsid w:val="00E33CFB"/>
    <w:rsid w:val="00E361D3"/>
    <w:rsid w:val="00E41ED1"/>
    <w:rsid w:val="00E428DA"/>
    <w:rsid w:val="00E45874"/>
    <w:rsid w:val="00E4715D"/>
    <w:rsid w:val="00E54634"/>
    <w:rsid w:val="00E602C2"/>
    <w:rsid w:val="00E655FE"/>
    <w:rsid w:val="00E707DA"/>
    <w:rsid w:val="00E708D9"/>
    <w:rsid w:val="00E73063"/>
    <w:rsid w:val="00E748DE"/>
    <w:rsid w:val="00E77479"/>
    <w:rsid w:val="00E80111"/>
    <w:rsid w:val="00E8144B"/>
    <w:rsid w:val="00E81BF9"/>
    <w:rsid w:val="00E848EC"/>
    <w:rsid w:val="00E864CA"/>
    <w:rsid w:val="00E900F9"/>
    <w:rsid w:val="00E91A15"/>
    <w:rsid w:val="00E932D1"/>
    <w:rsid w:val="00E959CF"/>
    <w:rsid w:val="00E96847"/>
    <w:rsid w:val="00EA2039"/>
    <w:rsid w:val="00EA5C01"/>
    <w:rsid w:val="00EA6ADB"/>
    <w:rsid w:val="00EB2983"/>
    <w:rsid w:val="00EB7C3D"/>
    <w:rsid w:val="00EC408B"/>
    <w:rsid w:val="00EC4552"/>
    <w:rsid w:val="00EC5606"/>
    <w:rsid w:val="00EC587E"/>
    <w:rsid w:val="00EC74E2"/>
    <w:rsid w:val="00ED02F1"/>
    <w:rsid w:val="00ED2800"/>
    <w:rsid w:val="00ED2EAD"/>
    <w:rsid w:val="00EE15E5"/>
    <w:rsid w:val="00EE18ED"/>
    <w:rsid w:val="00EE4691"/>
    <w:rsid w:val="00EE7BC8"/>
    <w:rsid w:val="00EF0A54"/>
    <w:rsid w:val="00EF0F0C"/>
    <w:rsid w:val="00EF1792"/>
    <w:rsid w:val="00EF75D2"/>
    <w:rsid w:val="00F0101C"/>
    <w:rsid w:val="00F01D02"/>
    <w:rsid w:val="00F064B7"/>
    <w:rsid w:val="00F10D01"/>
    <w:rsid w:val="00F134D2"/>
    <w:rsid w:val="00F13F09"/>
    <w:rsid w:val="00F140EA"/>
    <w:rsid w:val="00F15C00"/>
    <w:rsid w:val="00F1613D"/>
    <w:rsid w:val="00F21283"/>
    <w:rsid w:val="00F22504"/>
    <w:rsid w:val="00F256AF"/>
    <w:rsid w:val="00F27ED7"/>
    <w:rsid w:val="00F36D10"/>
    <w:rsid w:val="00F419AE"/>
    <w:rsid w:val="00F41D5B"/>
    <w:rsid w:val="00F441FB"/>
    <w:rsid w:val="00F45683"/>
    <w:rsid w:val="00F46E00"/>
    <w:rsid w:val="00F52672"/>
    <w:rsid w:val="00F53B8A"/>
    <w:rsid w:val="00F54F8F"/>
    <w:rsid w:val="00F57F88"/>
    <w:rsid w:val="00F6100A"/>
    <w:rsid w:val="00F61B6A"/>
    <w:rsid w:val="00F61F54"/>
    <w:rsid w:val="00F63415"/>
    <w:rsid w:val="00F63D05"/>
    <w:rsid w:val="00F63F50"/>
    <w:rsid w:val="00F643EA"/>
    <w:rsid w:val="00F65B2F"/>
    <w:rsid w:val="00F6694F"/>
    <w:rsid w:val="00F700AD"/>
    <w:rsid w:val="00F70D83"/>
    <w:rsid w:val="00F7245C"/>
    <w:rsid w:val="00F72BE9"/>
    <w:rsid w:val="00F73656"/>
    <w:rsid w:val="00F73F93"/>
    <w:rsid w:val="00F75AB4"/>
    <w:rsid w:val="00F7696C"/>
    <w:rsid w:val="00F7777E"/>
    <w:rsid w:val="00F8050A"/>
    <w:rsid w:val="00F8059A"/>
    <w:rsid w:val="00F8129D"/>
    <w:rsid w:val="00F82AEF"/>
    <w:rsid w:val="00F83AF8"/>
    <w:rsid w:val="00F83D15"/>
    <w:rsid w:val="00F846C0"/>
    <w:rsid w:val="00F85016"/>
    <w:rsid w:val="00F874FF"/>
    <w:rsid w:val="00F87590"/>
    <w:rsid w:val="00F87EB3"/>
    <w:rsid w:val="00F91939"/>
    <w:rsid w:val="00F93CF5"/>
    <w:rsid w:val="00F956BB"/>
    <w:rsid w:val="00F97F84"/>
    <w:rsid w:val="00FA2647"/>
    <w:rsid w:val="00FA5309"/>
    <w:rsid w:val="00FA5FFC"/>
    <w:rsid w:val="00FA677A"/>
    <w:rsid w:val="00FA7B77"/>
    <w:rsid w:val="00FB5476"/>
    <w:rsid w:val="00FC10FF"/>
    <w:rsid w:val="00FC3669"/>
    <w:rsid w:val="00FC4CD8"/>
    <w:rsid w:val="00FC7333"/>
    <w:rsid w:val="00FC78EF"/>
    <w:rsid w:val="00FC7F76"/>
    <w:rsid w:val="00FD3957"/>
    <w:rsid w:val="00FD41CB"/>
    <w:rsid w:val="00FD421D"/>
    <w:rsid w:val="00FD7EFE"/>
    <w:rsid w:val="00FE2B18"/>
    <w:rsid w:val="00FE3EEC"/>
    <w:rsid w:val="00FE72E6"/>
    <w:rsid w:val="00FE78BD"/>
    <w:rsid w:val="00FF2DB9"/>
    <w:rsid w:val="00FF7E86"/>
    <w:rsid w:val="01645E07"/>
    <w:rsid w:val="019A4C11"/>
    <w:rsid w:val="01C26B16"/>
    <w:rsid w:val="02447964"/>
    <w:rsid w:val="0290453D"/>
    <w:rsid w:val="02FE1B81"/>
    <w:rsid w:val="030175E1"/>
    <w:rsid w:val="034C4299"/>
    <w:rsid w:val="035E1C7C"/>
    <w:rsid w:val="03726729"/>
    <w:rsid w:val="038F0F47"/>
    <w:rsid w:val="0478590F"/>
    <w:rsid w:val="04843603"/>
    <w:rsid w:val="04985556"/>
    <w:rsid w:val="04A353E9"/>
    <w:rsid w:val="04CE69C6"/>
    <w:rsid w:val="05FF1F59"/>
    <w:rsid w:val="0691141F"/>
    <w:rsid w:val="07D17557"/>
    <w:rsid w:val="07DF5155"/>
    <w:rsid w:val="07EE522F"/>
    <w:rsid w:val="08611595"/>
    <w:rsid w:val="087F37B2"/>
    <w:rsid w:val="094653C5"/>
    <w:rsid w:val="09F72FB3"/>
    <w:rsid w:val="0A017596"/>
    <w:rsid w:val="0A0E7A40"/>
    <w:rsid w:val="0A9E1DD8"/>
    <w:rsid w:val="0BBB7256"/>
    <w:rsid w:val="0BD27853"/>
    <w:rsid w:val="0BDE5055"/>
    <w:rsid w:val="0D3F78D7"/>
    <w:rsid w:val="0E374097"/>
    <w:rsid w:val="0E3B5D5B"/>
    <w:rsid w:val="0E882B49"/>
    <w:rsid w:val="0EAB223F"/>
    <w:rsid w:val="0EFE0882"/>
    <w:rsid w:val="0F3376EE"/>
    <w:rsid w:val="0FD33539"/>
    <w:rsid w:val="100A59CD"/>
    <w:rsid w:val="1051070A"/>
    <w:rsid w:val="10707863"/>
    <w:rsid w:val="107C07C8"/>
    <w:rsid w:val="11161999"/>
    <w:rsid w:val="111E4A13"/>
    <w:rsid w:val="115F1680"/>
    <w:rsid w:val="116C7472"/>
    <w:rsid w:val="11F9571E"/>
    <w:rsid w:val="125A0799"/>
    <w:rsid w:val="12854D23"/>
    <w:rsid w:val="12F91C40"/>
    <w:rsid w:val="13AA0964"/>
    <w:rsid w:val="13FA4701"/>
    <w:rsid w:val="1418513F"/>
    <w:rsid w:val="142B5B91"/>
    <w:rsid w:val="143B152B"/>
    <w:rsid w:val="145A7304"/>
    <w:rsid w:val="14BC3B31"/>
    <w:rsid w:val="14E33730"/>
    <w:rsid w:val="154B4446"/>
    <w:rsid w:val="158177BF"/>
    <w:rsid w:val="161B037F"/>
    <w:rsid w:val="16E45746"/>
    <w:rsid w:val="18D40CB2"/>
    <w:rsid w:val="192604FE"/>
    <w:rsid w:val="19293B6C"/>
    <w:rsid w:val="198D07FA"/>
    <w:rsid w:val="19A37D29"/>
    <w:rsid w:val="1A2A6B7F"/>
    <w:rsid w:val="1AB61E73"/>
    <w:rsid w:val="1ACF37B8"/>
    <w:rsid w:val="1B0A437D"/>
    <w:rsid w:val="1B4057B8"/>
    <w:rsid w:val="1BBA7069"/>
    <w:rsid w:val="1C0C7F2A"/>
    <w:rsid w:val="1C4161AD"/>
    <w:rsid w:val="1C6C2E3A"/>
    <w:rsid w:val="1CAC6BC7"/>
    <w:rsid w:val="1D6D157E"/>
    <w:rsid w:val="1E0C7614"/>
    <w:rsid w:val="1E296658"/>
    <w:rsid w:val="1F2E6190"/>
    <w:rsid w:val="1F51435E"/>
    <w:rsid w:val="20151370"/>
    <w:rsid w:val="201A0466"/>
    <w:rsid w:val="20331249"/>
    <w:rsid w:val="205D13E7"/>
    <w:rsid w:val="20841F4E"/>
    <w:rsid w:val="20B95D57"/>
    <w:rsid w:val="210B0C0C"/>
    <w:rsid w:val="2110177B"/>
    <w:rsid w:val="21981676"/>
    <w:rsid w:val="223921BD"/>
    <w:rsid w:val="225A1B74"/>
    <w:rsid w:val="226F4DB4"/>
    <w:rsid w:val="22734331"/>
    <w:rsid w:val="22B2610D"/>
    <w:rsid w:val="22C720A5"/>
    <w:rsid w:val="23097698"/>
    <w:rsid w:val="245F4B2F"/>
    <w:rsid w:val="24EC6C3E"/>
    <w:rsid w:val="254778C3"/>
    <w:rsid w:val="2567229D"/>
    <w:rsid w:val="25F9574F"/>
    <w:rsid w:val="264E3335"/>
    <w:rsid w:val="27E25B3C"/>
    <w:rsid w:val="27F3350E"/>
    <w:rsid w:val="28027686"/>
    <w:rsid w:val="28131510"/>
    <w:rsid w:val="284A53C5"/>
    <w:rsid w:val="2862672D"/>
    <w:rsid w:val="286A1C65"/>
    <w:rsid w:val="29490F3B"/>
    <w:rsid w:val="2A094D76"/>
    <w:rsid w:val="2B453421"/>
    <w:rsid w:val="2C601673"/>
    <w:rsid w:val="2C9131A7"/>
    <w:rsid w:val="2CAC7D91"/>
    <w:rsid w:val="2CEC6C39"/>
    <w:rsid w:val="2D1771CE"/>
    <w:rsid w:val="2DF27477"/>
    <w:rsid w:val="2E5668FD"/>
    <w:rsid w:val="2F9C1B53"/>
    <w:rsid w:val="2FB97EBB"/>
    <w:rsid w:val="2FE40DDB"/>
    <w:rsid w:val="30964903"/>
    <w:rsid w:val="30AC7D77"/>
    <w:rsid w:val="310D559D"/>
    <w:rsid w:val="31FA6561"/>
    <w:rsid w:val="323859A7"/>
    <w:rsid w:val="32FC25D5"/>
    <w:rsid w:val="334F3FD4"/>
    <w:rsid w:val="33B56387"/>
    <w:rsid w:val="33F80C5A"/>
    <w:rsid w:val="341F04AE"/>
    <w:rsid w:val="353C606A"/>
    <w:rsid w:val="3577551A"/>
    <w:rsid w:val="359C50BF"/>
    <w:rsid w:val="35BF0D1C"/>
    <w:rsid w:val="360B77D4"/>
    <w:rsid w:val="365E2E39"/>
    <w:rsid w:val="372445D7"/>
    <w:rsid w:val="372678DF"/>
    <w:rsid w:val="38B8009B"/>
    <w:rsid w:val="399C1F36"/>
    <w:rsid w:val="39B618FE"/>
    <w:rsid w:val="39C35333"/>
    <w:rsid w:val="39CE3F52"/>
    <w:rsid w:val="39FC4890"/>
    <w:rsid w:val="3A033486"/>
    <w:rsid w:val="3A536B62"/>
    <w:rsid w:val="3A536E7B"/>
    <w:rsid w:val="3ACF5C4A"/>
    <w:rsid w:val="3B2D7B4A"/>
    <w:rsid w:val="3B622A78"/>
    <w:rsid w:val="3C2C3746"/>
    <w:rsid w:val="3D792195"/>
    <w:rsid w:val="3E394756"/>
    <w:rsid w:val="3EAF6E16"/>
    <w:rsid w:val="3FBD5EC5"/>
    <w:rsid w:val="3FDC4083"/>
    <w:rsid w:val="3FF93297"/>
    <w:rsid w:val="40417336"/>
    <w:rsid w:val="407A053E"/>
    <w:rsid w:val="40AF0117"/>
    <w:rsid w:val="41000384"/>
    <w:rsid w:val="4108490C"/>
    <w:rsid w:val="414E7FF7"/>
    <w:rsid w:val="419073F9"/>
    <w:rsid w:val="41B0795E"/>
    <w:rsid w:val="41C87EB7"/>
    <w:rsid w:val="42A87A40"/>
    <w:rsid w:val="42CC1E36"/>
    <w:rsid w:val="42F51E22"/>
    <w:rsid w:val="44405A11"/>
    <w:rsid w:val="447C7C43"/>
    <w:rsid w:val="4518233C"/>
    <w:rsid w:val="46CD087B"/>
    <w:rsid w:val="46D7706F"/>
    <w:rsid w:val="47724950"/>
    <w:rsid w:val="47904BC6"/>
    <w:rsid w:val="487E4CF2"/>
    <w:rsid w:val="48BB57F8"/>
    <w:rsid w:val="490A78CC"/>
    <w:rsid w:val="49D85D00"/>
    <w:rsid w:val="4A427CC3"/>
    <w:rsid w:val="4AD455F9"/>
    <w:rsid w:val="4B40149E"/>
    <w:rsid w:val="4B447824"/>
    <w:rsid w:val="4B701628"/>
    <w:rsid w:val="4BDB6104"/>
    <w:rsid w:val="4C4B70BE"/>
    <w:rsid w:val="4D041439"/>
    <w:rsid w:val="4D232F87"/>
    <w:rsid w:val="4DD03E0F"/>
    <w:rsid w:val="4EF9739D"/>
    <w:rsid w:val="506507B6"/>
    <w:rsid w:val="5070257D"/>
    <w:rsid w:val="51275CAC"/>
    <w:rsid w:val="51287006"/>
    <w:rsid w:val="525D4BFE"/>
    <w:rsid w:val="527B1B95"/>
    <w:rsid w:val="52881D83"/>
    <w:rsid w:val="52B71C31"/>
    <w:rsid w:val="52DB7D28"/>
    <w:rsid w:val="52F76691"/>
    <w:rsid w:val="530A2FBD"/>
    <w:rsid w:val="535A6D8C"/>
    <w:rsid w:val="538F1F6D"/>
    <w:rsid w:val="53EB3044"/>
    <w:rsid w:val="53F82D22"/>
    <w:rsid w:val="54715D5F"/>
    <w:rsid w:val="55380712"/>
    <w:rsid w:val="5591411F"/>
    <w:rsid w:val="56982CAD"/>
    <w:rsid w:val="56A573F3"/>
    <w:rsid w:val="57482C81"/>
    <w:rsid w:val="57765E69"/>
    <w:rsid w:val="57A147DA"/>
    <w:rsid w:val="59D037AD"/>
    <w:rsid w:val="5A02755D"/>
    <w:rsid w:val="5A1976F2"/>
    <w:rsid w:val="5A5736B2"/>
    <w:rsid w:val="5B815F2B"/>
    <w:rsid w:val="5BE47F8B"/>
    <w:rsid w:val="5C895E79"/>
    <w:rsid w:val="5D3F05FD"/>
    <w:rsid w:val="5D7E2D63"/>
    <w:rsid w:val="5D8A5568"/>
    <w:rsid w:val="5DD551FD"/>
    <w:rsid w:val="5E6F4DB5"/>
    <w:rsid w:val="5FFE70A4"/>
    <w:rsid w:val="60122665"/>
    <w:rsid w:val="60B77E5D"/>
    <w:rsid w:val="6136216E"/>
    <w:rsid w:val="61E541C2"/>
    <w:rsid w:val="624B4BAF"/>
    <w:rsid w:val="62563D11"/>
    <w:rsid w:val="628753E0"/>
    <w:rsid w:val="628D70EE"/>
    <w:rsid w:val="62A00CD8"/>
    <w:rsid w:val="62F7643F"/>
    <w:rsid w:val="643D6C2B"/>
    <w:rsid w:val="64650BE0"/>
    <w:rsid w:val="64953BC7"/>
    <w:rsid w:val="65D96B2F"/>
    <w:rsid w:val="662C2BCB"/>
    <w:rsid w:val="666F066E"/>
    <w:rsid w:val="66A52422"/>
    <w:rsid w:val="677C7799"/>
    <w:rsid w:val="682E2C2B"/>
    <w:rsid w:val="68865844"/>
    <w:rsid w:val="68B93E50"/>
    <w:rsid w:val="694F7702"/>
    <w:rsid w:val="695E50FE"/>
    <w:rsid w:val="697D73C9"/>
    <w:rsid w:val="6A060240"/>
    <w:rsid w:val="6A61605B"/>
    <w:rsid w:val="6AD61D8C"/>
    <w:rsid w:val="6B603672"/>
    <w:rsid w:val="6BFA0FCF"/>
    <w:rsid w:val="6C7F3AB4"/>
    <w:rsid w:val="6D55575B"/>
    <w:rsid w:val="6D8015BF"/>
    <w:rsid w:val="6DA961E8"/>
    <w:rsid w:val="6F397A21"/>
    <w:rsid w:val="6FBB7E27"/>
    <w:rsid w:val="70242AFE"/>
    <w:rsid w:val="70C036F6"/>
    <w:rsid w:val="7140597D"/>
    <w:rsid w:val="71C04801"/>
    <w:rsid w:val="71C47B67"/>
    <w:rsid w:val="71F931F4"/>
    <w:rsid w:val="721A099F"/>
    <w:rsid w:val="722C32C7"/>
    <w:rsid w:val="724E60E8"/>
    <w:rsid w:val="726D0A2E"/>
    <w:rsid w:val="728733AB"/>
    <w:rsid w:val="729802A1"/>
    <w:rsid w:val="730639E0"/>
    <w:rsid w:val="730E658F"/>
    <w:rsid w:val="73E1560E"/>
    <w:rsid w:val="74B765E6"/>
    <w:rsid w:val="74EB0423"/>
    <w:rsid w:val="752F52A3"/>
    <w:rsid w:val="76E95F65"/>
    <w:rsid w:val="77226245"/>
    <w:rsid w:val="77327202"/>
    <w:rsid w:val="776B7E8A"/>
    <w:rsid w:val="77A33293"/>
    <w:rsid w:val="78086EAD"/>
    <w:rsid w:val="792C369E"/>
    <w:rsid w:val="796A2D78"/>
    <w:rsid w:val="79F80976"/>
    <w:rsid w:val="7AF30123"/>
    <w:rsid w:val="7B635E8C"/>
    <w:rsid w:val="7C2C1C0A"/>
    <w:rsid w:val="7C3E6401"/>
    <w:rsid w:val="7C9F795F"/>
    <w:rsid w:val="7CE6017A"/>
    <w:rsid w:val="7D131301"/>
    <w:rsid w:val="7D7A5565"/>
    <w:rsid w:val="7E124A25"/>
    <w:rsid w:val="7E505D41"/>
    <w:rsid w:val="7F393D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next w:val="2"/>
    <w:uiPriority w:val="0"/>
    <w:pPr>
      <w:keepNext/>
      <w:keepLines/>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contextualSpacing w:val="0"/>
      <w:jc w:val="center"/>
      <w:textAlignment w:val="auto"/>
      <w:outlineLvl w:val="0"/>
    </w:pPr>
    <w:rPr>
      <w:rFonts w:ascii="Times New Roman" w:hAnsi="Times New Roman" w:eastAsia="方正小标宋_GBK" w:cs="Times New Roman"/>
      <w:b/>
      <w:snapToGrid/>
      <w:color w:val="auto"/>
      <w:spacing w:val="0"/>
      <w:w w:val="100"/>
      <w:kern w:val="44"/>
      <w:position w:val="0"/>
      <w:sz w:val="44"/>
      <w:szCs w:val="44"/>
      <w:u w:val="none" w:color="auto"/>
      <w:shd w:val="clear" w:color="auto" w:fill="auto"/>
      <w:vertAlign w:val="baseline"/>
      <w:lang w:val="en-US" w:eastAsia="zh-CN" w:bidi="ar-SA"/>
    </w:rPr>
  </w:style>
  <w:style w:type="paragraph" w:styleId="2">
    <w:name w:val="heading 2"/>
    <w:basedOn w:val="1"/>
    <w:next w:val="3"/>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next w:val="1"/>
    <w:qFormat/>
    <w:uiPriority w:val="0"/>
    <w:pPr>
      <w:keepNext/>
      <w:keepLines/>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2"/>
    </w:pPr>
    <w:rPr>
      <w:rFonts w:ascii="Calibri" w:hAnsi="Calibri" w:eastAsia="宋体" w:cs="Times New Roman"/>
      <w:b/>
      <w:bCs/>
      <w:snapToGrid/>
      <w:color w:val="auto"/>
      <w:spacing w:val="0"/>
      <w:w w:val="100"/>
      <w:kern w:val="2"/>
      <w:position w:val="0"/>
      <w:sz w:val="21"/>
      <w:szCs w:val="21"/>
      <w:u w:val="none" w:color="auto"/>
      <w:shd w:val="clear" w:color="auto" w:fill="auto"/>
      <w:vertAlign w:val="baseline"/>
      <w:lang w:val="en-US" w:eastAsia="zh-CN" w:bidi="ar-SA"/>
    </w:rPr>
  </w:style>
  <w:style w:type="character" w:default="1" w:styleId="19">
    <w:name w:val="Default Paragraph Font"/>
    <w:semiHidden/>
    <w:uiPriority w:val="0"/>
  </w:style>
  <w:style w:type="table" w:default="1" w:styleId="17">
    <w:name w:val="Normal Table"/>
    <w:semiHidden/>
    <w:uiPriority w:val="0"/>
    <w:tblPr>
      <w:tblCellMar>
        <w:top w:w="0" w:type="dxa"/>
        <w:left w:w="108" w:type="dxa"/>
        <w:bottom w:w="0" w:type="dxa"/>
        <w:right w:w="108" w:type="dxa"/>
      </w:tblCellMar>
    </w:tblPr>
  </w:style>
  <w:style w:type="paragraph" w:styleId="5">
    <w:name w:val="Normal Indent"/>
    <w:basedOn w:val="1"/>
    <w:qFormat/>
    <w:uiPriority w:val="0"/>
    <w:pPr>
      <w:spacing w:line="560" w:lineRule="exact"/>
      <w:ind w:firstLine="560" w:firstLineChars="200"/>
    </w:pPr>
    <w:rPr>
      <w:rFonts w:eastAsia="宋体"/>
      <w:szCs w:val="20"/>
    </w:rPr>
  </w:style>
  <w:style w:type="paragraph" w:styleId="6">
    <w:name w:val="Body Text"/>
    <w:basedOn w:val="1"/>
    <w:link w:val="33"/>
    <w:qFormat/>
    <w:uiPriority w:val="0"/>
    <w:pPr>
      <w:spacing w:after="120"/>
    </w:pPr>
  </w:style>
  <w:style w:type="paragraph" w:styleId="7">
    <w:name w:val="Body Text Indent"/>
    <w:basedOn w:val="1"/>
    <w:link w:val="32"/>
    <w:qFormat/>
    <w:uiPriority w:val="0"/>
    <w:pPr>
      <w:spacing w:after="120"/>
      <w:ind w:left="420" w:leftChars="200"/>
    </w:pPr>
  </w:style>
  <w:style w:type="paragraph" w:styleId="8">
    <w:name w:val="Plain Text"/>
    <w:basedOn w:val="1"/>
    <w:qFormat/>
    <w:uiPriority w:val="0"/>
    <w:rPr>
      <w:rFonts w:ascii="宋体" w:hAnsi="Courier New" w:cs="Courier New"/>
      <w:szCs w:val="21"/>
    </w:rPr>
  </w:style>
  <w:style w:type="paragraph" w:styleId="9">
    <w:name w:val="Date"/>
    <w:basedOn w:val="1"/>
    <w:next w:val="1"/>
    <w:link w:val="36"/>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34"/>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qFormat/>
    <w:uiPriority w:val="99"/>
    <w:pPr>
      <w:snapToGrid w:val="0"/>
      <w:jc w:val="left"/>
    </w:pPr>
    <w:rPr>
      <w:kern w:val="0"/>
      <w:sz w:val="18"/>
      <w:szCs w:val="18"/>
    </w:rPr>
  </w:style>
  <w:style w:type="paragraph" w:styleId="14">
    <w:name w:val="Body Text Indent 3"/>
    <w:basedOn w:val="1"/>
    <w:qFormat/>
    <w:uiPriority w:val="0"/>
    <w:pPr>
      <w:spacing w:after="120"/>
      <w:ind w:left="420" w:leftChars="200"/>
    </w:pPr>
    <w:rPr>
      <w:rFonts w:eastAsia="仿宋_GB2312"/>
      <w:sz w:val="16"/>
      <w:szCs w:val="16"/>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8">
    <w:name w:val="Table Grid"/>
    <w:basedOn w:val="17"/>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page number"/>
    <w:basedOn w:val="19"/>
    <w:qFormat/>
    <w:uiPriority w:val="0"/>
  </w:style>
  <w:style w:type="paragraph" w:customStyle="1" w:styleId="22">
    <w:name w:val="Body Text First Indent1"/>
    <w:basedOn w:val="6"/>
    <w:next w:val="1"/>
    <w:qFormat/>
    <w:uiPriority w:val="0"/>
    <w:pPr>
      <w:ind w:firstLine="420" w:firstLineChars="100"/>
    </w:pPr>
  </w:style>
  <w:style w:type="paragraph" w:customStyle="1" w:styleId="23">
    <w:name w:val=" Char Char Char Char"/>
    <w:basedOn w:val="1"/>
    <w:qFormat/>
    <w:uiPriority w:val="0"/>
    <w:rPr>
      <w:rFonts w:ascii="Tahoma" w:hAnsi="Tahoma"/>
      <w:sz w:val="24"/>
      <w:szCs w:val="20"/>
    </w:rPr>
  </w:style>
  <w:style w:type="paragraph" w:customStyle="1" w:styleId="24">
    <w:name w:val="cjk"/>
    <w:basedOn w:val="1"/>
    <w:qFormat/>
    <w:uiPriority w:val="0"/>
    <w:pPr>
      <w:widowControl/>
      <w:spacing w:before="75" w:after="75"/>
      <w:jc w:val="left"/>
    </w:pPr>
    <w:rPr>
      <w:rFonts w:ascii="宋体" w:hAnsi="宋体" w:cs="宋体"/>
      <w:color w:val="000000"/>
      <w:kern w:val="0"/>
      <w:sz w:val="24"/>
    </w:rPr>
  </w:style>
  <w:style w:type="paragraph" w:styleId="25">
    <w:name w:val="List Paragraph"/>
    <w:basedOn w:val="1"/>
    <w:qFormat/>
    <w:uiPriority w:val="99"/>
    <w:pPr>
      <w:ind w:firstLine="420" w:firstLineChars="200"/>
    </w:pPr>
    <w:rPr>
      <w:szCs w:val="20"/>
    </w:rPr>
  </w:style>
  <w:style w:type="paragraph" w:customStyle="1" w:styleId="26">
    <w:name w:val="样式1"/>
    <w:basedOn w:val="16"/>
    <w:qFormat/>
    <w:uiPriority w:val="0"/>
    <w:pPr>
      <w:spacing w:after="130"/>
    </w:pPr>
  </w:style>
  <w:style w:type="paragraph" w:customStyle="1" w:styleId="27">
    <w:name w:val="p0"/>
    <w:basedOn w:val="1"/>
    <w:qFormat/>
    <w:uiPriority w:val="0"/>
    <w:pPr>
      <w:widowControl/>
    </w:pPr>
    <w:rPr>
      <w:kern w:val="0"/>
      <w:szCs w:val="21"/>
    </w:rPr>
  </w:style>
  <w:style w:type="paragraph" w:customStyle="1" w:styleId="28">
    <w:name w:val="Char Char Char1 Char"/>
    <w:basedOn w:val="1"/>
    <w:qFormat/>
    <w:uiPriority w:val="0"/>
    <w:pPr>
      <w:widowControl/>
      <w:spacing w:after="160" w:line="240" w:lineRule="exact"/>
      <w:jc w:val="left"/>
    </w:pPr>
    <w:rPr>
      <w:rFonts w:ascii="Calibri" w:hAnsi="Calibri"/>
      <w:szCs w:val="22"/>
    </w:rPr>
  </w:style>
  <w:style w:type="paragraph" w:customStyle="1" w:styleId="29">
    <w:name w:val="Char Char Char Char"/>
    <w:basedOn w:val="1"/>
    <w:qFormat/>
    <w:uiPriority w:val="0"/>
    <w:rPr>
      <w:rFonts w:ascii="Tahoma" w:hAnsi="Tahoma" w:cs="Tahoma"/>
      <w:sz w:val="24"/>
    </w:rPr>
  </w:style>
  <w:style w:type="paragraph" w:customStyle="1" w:styleId="30">
    <w:name w:val="font14g"/>
    <w:basedOn w:val="1"/>
    <w:qFormat/>
    <w:uiPriority w:val="99"/>
    <w:pPr>
      <w:spacing w:before="60" w:after="120"/>
      <w:ind w:firstLine="420"/>
      <w:jc w:val="left"/>
    </w:pPr>
    <w:rPr>
      <w:rFonts w:ascii="Calibri" w:hAnsi="Calibri" w:cs="Calibri"/>
      <w:kern w:val="0"/>
      <w:szCs w:val="21"/>
    </w:rPr>
  </w:style>
  <w:style w:type="character" w:customStyle="1" w:styleId="31">
    <w:name w:val="NormalCharacter"/>
    <w:semiHidden/>
    <w:qFormat/>
    <w:uiPriority w:val="0"/>
    <w:rPr>
      <w:kern w:val="2"/>
      <w:sz w:val="21"/>
      <w:szCs w:val="24"/>
      <w:lang w:val="en-US" w:eastAsia="zh-CN" w:bidi="ar-SA"/>
    </w:rPr>
  </w:style>
  <w:style w:type="character" w:customStyle="1" w:styleId="32">
    <w:name w:val="正文文本缩进 Char"/>
    <w:basedOn w:val="19"/>
    <w:link w:val="7"/>
    <w:qFormat/>
    <w:uiPriority w:val="0"/>
    <w:rPr>
      <w:kern w:val="2"/>
      <w:sz w:val="21"/>
      <w:szCs w:val="24"/>
    </w:rPr>
  </w:style>
  <w:style w:type="character" w:customStyle="1" w:styleId="33">
    <w:name w:val="正文文本 Char"/>
    <w:basedOn w:val="19"/>
    <w:link w:val="6"/>
    <w:qFormat/>
    <w:uiPriority w:val="0"/>
    <w:rPr>
      <w:kern w:val="2"/>
      <w:sz w:val="21"/>
      <w:szCs w:val="24"/>
    </w:rPr>
  </w:style>
  <w:style w:type="character" w:customStyle="1" w:styleId="34">
    <w:name w:val="页脚 Char"/>
    <w:basedOn w:val="19"/>
    <w:link w:val="11"/>
    <w:qFormat/>
    <w:uiPriority w:val="99"/>
    <w:rPr>
      <w:kern w:val="2"/>
      <w:sz w:val="18"/>
      <w:szCs w:val="18"/>
    </w:rPr>
  </w:style>
  <w:style w:type="character" w:customStyle="1" w:styleId="35">
    <w:name w:val="page number"/>
    <w:basedOn w:val="19"/>
    <w:qFormat/>
    <w:uiPriority w:val="0"/>
  </w:style>
  <w:style w:type="character" w:customStyle="1" w:styleId="36">
    <w:name w:val="日期 Char"/>
    <w:basedOn w:val="19"/>
    <w:link w:val="9"/>
    <w:qFormat/>
    <w:uiPriority w:val="0"/>
    <w:rPr>
      <w:kern w:val="2"/>
      <w:sz w:val="21"/>
      <w:szCs w:val="24"/>
    </w:rPr>
  </w:style>
  <w:style w:type="character" w:customStyle="1" w:styleId="37">
    <w:name w:val="apple-converted-space"/>
    <w:basedOn w:val="19"/>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9577;&#25919;81&#21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玉政81号.dot</Template>
  <Pages>2</Pages>
  <Words>518</Words>
  <Characters>580</Characters>
  <Lines>5</Lines>
  <Paragraphs>1</Paragraphs>
  <TotalTime>9</TotalTime>
  <ScaleCrop>false</ScaleCrop>
  <LinksUpToDate>false</LinksUpToDate>
  <CharactersWithSpaces>669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2021-12-29T06:55:00Z</dcterms:created>
  <dc:creator>春花秋月陈文明</dc:creator>
  <cp:lastModifiedBy>春花秋月陈文明</cp:lastModifiedBy>
  <cp:lastPrinted>2022-01-20T08:01:00Z</cp:lastPrinted>
  <dcterms:modified xsi:type="dcterms:W3CDTF">2022-05-26T08:58:09Z</dcterms:modified>
  <dc:title>关于调整玉泉办事处2008年重大动物疫情防控工作领导小组的通知</dc:title>
  <cp:revision>639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