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黑体" w:cs="黑体"/>
          <w:snapToGrid/>
          <w:kern w:val="2"/>
          <w:sz w:val="30"/>
          <w:szCs w:val="30"/>
          <w:lang w:val="en-US" w:eastAsia="zh-CN" w:bidi="ar-SA"/>
        </w:rPr>
      </w:pPr>
      <w:r>
        <w:rPr>
          <w:rFonts w:hint="eastAsia" w:ascii="宋体" w:hAnsi="宋体" w:eastAsia="黑体" w:cs="黑体"/>
          <w:snapToGrid/>
          <w:kern w:val="2"/>
          <w:sz w:val="30"/>
          <w:szCs w:val="30"/>
          <w:lang w:val="en-US" w:eastAsia="zh-CN" w:bidi="ar-SA"/>
        </w:rPr>
        <w:t>附件</w:t>
      </w:r>
    </w:p>
    <w:p>
      <w:pPr>
        <w:pStyle w:val="2"/>
        <w:keepNext w:val="0"/>
        <w:keepLines w:val="0"/>
        <w:pageBreakBefore w:val="0"/>
        <w:widowControl w:val="0"/>
        <w:kinsoku/>
        <w:wordWrap/>
        <w:overflowPunct/>
        <w:topLinePunct w:val="0"/>
        <w:bidi w:val="0"/>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napToGrid/>
          <w:kern w:val="2"/>
          <w:sz w:val="44"/>
          <w:szCs w:val="44"/>
          <w:lang w:val="en-US" w:eastAsia="zh-CN" w:bidi="ar-SA"/>
        </w:rPr>
      </w:pPr>
      <w:r>
        <w:rPr>
          <w:rFonts w:hint="eastAsia" w:ascii="宋体" w:hAnsi="宋体" w:eastAsia="方正小标宋简体" w:cs="方正小标宋简体"/>
          <w:snapToGrid/>
          <w:kern w:val="2"/>
          <w:sz w:val="44"/>
          <w:szCs w:val="44"/>
          <w:lang w:val="en-US" w:eastAsia="zh-CN" w:bidi="ar-SA"/>
        </w:rPr>
        <w:t>济源示范区司法局“双随机、一公开”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napToGrid/>
          <w:kern w:val="2"/>
          <w:sz w:val="44"/>
          <w:szCs w:val="44"/>
          <w:lang w:val="en-US" w:eastAsia="zh-CN" w:bidi="ar-SA"/>
        </w:rPr>
      </w:pPr>
      <w:r>
        <w:rPr>
          <w:rFonts w:hint="eastAsia" w:ascii="宋体" w:hAnsi="宋体" w:eastAsia="方正小标宋简体" w:cs="方正小标宋简体"/>
          <w:snapToGrid/>
          <w:kern w:val="2"/>
          <w:sz w:val="44"/>
          <w:szCs w:val="44"/>
          <w:lang w:val="en-US" w:eastAsia="zh-CN" w:bidi="ar-SA"/>
        </w:rPr>
        <w:t>监管抽查工作指引</w:t>
      </w:r>
    </w:p>
    <w:p>
      <w:pPr>
        <w:pStyle w:val="13"/>
        <w:keepNext w:val="0"/>
        <w:keepLines w:val="0"/>
        <w:pageBreakBefore w:val="0"/>
        <w:widowControl w:val="0"/>
        <w:numPr>
          <w:ilvl w:val="0"/>
          <w:numId w:val="0"/>
        </w:numPr>
        <w:tabs>
          <w:tab w:val="left" w:pos="2775"/>
        </w:tabs>
        <w:kinsoku/>
        <w:wordWrap/>
        <w:overflowPunct/>
        <w:topLinePunct w:val="0"/>
        <w:autoSpaceDE w:val="0"/>
        <w:autoSpaceDN w:val="0"/>
        <w:bidi w:val="0"/>
        <w:adjustRightInd/>
        <w:snapToGrid/>
        <w:spacing w:after="0" w:line="640" w:lineRule="exact"/>
        <w:ind w:right="0" w:rightChars="0"/>
        <w:jc w:val="both"/>
        <w:textAlignment w:val="auto"/>
        <w:rPr>
          <w:rFonts w:hint="eastAsia" w:ascii="宋体" w:hAnsi="宋体" w:eastAsia="仿宋_GB2312" w:cs="仿宋_GB2312"/>
          <w:b w:val="0"/>
          <w:bCs w:val="0"/>
          <w:snapToGrid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t>（一）律师事务所、律师执业情况检查工作指引</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rPr>
        <w:t>一、抽查事项</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lang w:eastAsia="zh-CN"/>
        </w:rPr>
      </w:pPr>
      <w:r>
        <w:rPr>
          <w:rFonts w:hint="eastAsia" w:ascii="宋体" w:hAnsi="宋体" w:eastAsia="仿宋_GB2312" w:cs="仿宋_GB2312"/>
          <w:spacing w:val="0"/>
          <w:sz w:val="32"/>
          <w:szCs w:val="32"/>
        </w:rPr>
        <w:t>律师事务所及其负责人执业情况检查</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律师执业监督检查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黑体" w:cs="黑体"/>
          <w:color w:val="000000"/>
          <w:spacing w:val="0"/>
          <w:sz w:val="32"/>
          <w:szCs w:val="32"/>
          <w:lang w:eastAsia="zh-CN"/>
        </w:rPr>
        <w:t>二、</w:t>
      </w:r>
      <w:r>
        <w:rPr>
          <w:rFonts w:hint="eastAsia" w:ascii="宋体" w:hAnsi="宋体" w:eastAsia="黑体" w:cs="黑体"/>
          <w:color w:val="000000"/>
          <w:spacing w:val="0"/>
          <w:sz w:val="32"/>
          <w:szCs w:val="32"/>
        </w:rPr>
        <w:t>检查内容</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律师事务所</w:t>
      </w:r>
      <w:r>
        <w:rPr>
          <w:rFonts w:hint="eastAsia" w:ascii="宋体" w:hAnsi="宋体" w:eastAsia="仿宋_GB2312" w:cs="仿宋_GB2312"/>
          <w:snapToGrid w:val="0"/>
          <w:color w:val="000000"/>
          <w:spacing w:val="0"/>
          <w:kern w:val="0"/>
          <w:sz w:val="32"/>
          <w:szCs w:val="32"/>
        </w:rPr>
        <w:t>组织建设情况；</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律师事务所执业活动开展情况；</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律师事务所内部管理制度建立和实施情况；</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律师执业表现情况；</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default" w:ascii="宋体" w:hAnsi="宋体" w:eastAsia="仿宋_GB2312" w:cs="仿宋_GB2312"/>
          <w:snapToGrid w:val="0"/>
          <w:color w:val="000000"/>
          <w:spacing w:val="0"/>
          <w:kern w:val="0"/>
          <w:sz w:val="32"/>
          <w:szCs w:val="32"/>
          <w:lang w:val="en-US" w:eastAsia="zh-CN"/>
        </w:rPr>
      </w:pPr>
      <w:r>
        <w:rPr>
          <w:rFonts w:hint="eastAsia" w:ascii="宋体" w:hAnsi="宋体" w:eastAsia="仿宋_GB2312" w:cs="仿宋_GB2312"/>
          <w:snapToGrid w:val="0"/>
          <w:color w:val="000000"/>
          <w:spacing w:val="0"/>
          <w:kern w:val="0"/>
          <w:sz w:val="32"/>
          <w:szCs w:val="32"/>
          <w:lang w:eastAsia="zh-CN"/>
        </w:rPr>
        <w:t>律师队伍建设情况。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Chars="0" w:right="0" w:rightChars="0" w:firstLine="640" w:firstLineChars="200"/>
        <w:jc w:val="both"/>
        <w:textAlignment w:val="auto"/>
        <w:rPr>
          <w:rFonts w:hint="eastAsia" w:ascii="宋体" w:hAnsi="宋体" w:eastAsia="黑体" w:cs="黑体"/>
          <w:color w:val="000000"/>
          <w:spacing w:val="0"/>
          <w:sz w:val="32"/>
          <w:szCs w:val="32"/>
          <w:lang w:val="en-US" w:eastAsia="zh-CN"/>
        </w:rPr>
      </w:pPr>
      <w:r>
        <w:rPr>
          <w:rFonts w:hint="eastAsia" w:ascii="宋体" w:hAnsi="宋体" w:eastAsia="黑体" w:cs="黑体"/>
          <w:color w:val="000000"/>
          <w:spacing w:val="0"/>
          <w:sz w:val="32"/>
          <w:szCs w:val="32"/>
          <w:lang w:val="en-US" w:eastAsia="zh-CN"/>
        </w:rPr>
        <w:t>三、法律依据</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rightChars="0" w:firstLine="640" w:firstLineChars="200"/>
        <w:jc w:val="both"/>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t>（一）《律师法》（</w:t>
      </w:r>
      <w:r>
        <w:rPr>
          <w:rFonts w:hint="eastAsia" w:ascii="宋体" w:hAnsi="宋体" w:eastAsia="仿宋_GB2312" w:cs="仿宋_GB2312"/>
          <w:snapToGrid w:val="0"/>
          <w:color w:val="000000"/>
          <w:spacing w:val="0"/>
          <w:kern w:val="0"/>
          <w:sz w:val="32"/>
          <w:szCs w:val="32"/>
          <w:lang w:val="en-US" w:eastAsia="zh-CN"/>
        </w:rPr>
        <w:t>1996年5月通过，2017年9月</w:t>
      </w:r>
      <w:r>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t>修正）第四条：“司法行政部门依照本法对律师、律师事务所和律师协会进行监督、指导。”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t> （二）《律师事务所管理办法》（2008年7月司法部令第111号发布，2018年12月司法部令第142号修正）第六十四条：“县级司法行政机关对本行政区域内的律师事务所的执业活动进行日常监督管理，履行下列职责：（一）监督律师事务所在开展业务活动过程中遵守法律、法规、规章的情况;（二）监督律师事务所执业和内部管理制度的建立和实施情况;（三）监督律师事务所保持法定设立条件以及变更报批或者备案的执行情况;（四）监督律师事务所进行清算、申请注销的情况;（五）监督律师事务所开展律师执业年度考核和上报年度执业总结的情况;（六）受理对律师事务所的举报和投诉;（七）监督律师事务所履行行政处罚和实行整改的情况;（八）司法部和省、自治区、直辖市司法行政机关规定的其他职责。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t>（三）《律师执业管理办法》（2008年7月司法部令第112 号发布，2016年9月司法部令第134号修订）第五十条：“县级司法行政机关对其执业机构在本行政区域的律师的执业活动进行日常监督管理，履行下列职责：（一）检查、监督律师在执业活动中遵守法律、法规、规章和职业道德、执业纪律的情况；（二）受理对律师的举报和投诉；（三）监督律师履行行政处罚和实行整改的情况；（四）掌握律师事务所对律师执业年度考核的情况；（五）司法部和省、自治区、直辖市司法行政机关规定的其他职责。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snapToGrid/>
          <w:color w:val="000000" w:themeColor="text1"/>
          <w:spacing w:val="0"/>
          <w:kern w:val="2"/>
          <w:sz w:val="32"/>
          <w:szCs w:val="32"/>
          <w:lang w:val="en-US" w:eastAsia="zh-CN" w:bidi="ar-SA"/>
          <w14:textFill>
            <w14:solidFill>
              <w14:schemeClr w14:val="tx1"/>
            </w14:solidFill>
          </w14:textFill>
        </w:rPr>
        <w:t>（四）《律师事务所年度检查考核办法》（2010年4月司法部令第121号发布）第四条：“省、自治区、直辖市司法行政机关负责指导、监督本行政区域律师事务所的年度检查考核工作。设区的市级或者直辖市区（县）司法行政机关负责组织实施对本行政区域内律师事务所的年度检查考核工作。县级司法行政机关负责年度检查考核的初审工作。”第六条：“对律师事务所进行年度检查考核，主要检查考核律师事务所遵守宪法和法律、履行法定职责、实行自律管理的情况，具体包括下列内容：（一）律师队伍建设情况；（二）业务活动开展情况；（三）律师执业表现情况；（四）内部管理情况；（五）受行政奖惩、行业奖惩的情况；（六）履行律师协会会员义务的情况；（七）省、自治区、直辖市司法行政机关根据需要认为应当检查考核的其他事项。”</w:t>
      </w:r>
    </w:p>
    <w:p>
      <w:pPr>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t>（二）基层法律服务所和基层法律服务工作者执业检查工作指引</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一、抽查事项</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基层法律服务所执业情况检查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color w:val="000000"/>
          <w:spacing w:val="0"/>
          <w:sz w:val="32"/>
          <w:szCs w:val="32"/>
        </w:rPr>
      </w:pPr>
      <w:r>
        <w:rPr>
          <w:rFonts w:hint="eastAsia" w:ascii="宋体" w:hAnsi="宋体" w:eastAsia="仿宋_GB2312" w:cs="仿宋_GB2312"/>
          <w:spacing w:val="0"/>
          <w:sz w:val="32"/>
          <w:szCs w:val="32"/>
        </w:rPr>
        <w:t>基层法律服务工作者执业情况检查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检查内容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（一）基层法律服务所</w:t>
      </w:r>
      <w:r>
        <w:rPr>
          <w:rFonts w:hint="eastAsia" w:ascii="宋体" w:hAnsi="宋体" w:eastAsia="仿宋_GB2312" w:cs="仿宋_GB2312"/>
          <w:snapToGrid w:val="0"/>
          <w:color w:val="000000"/>
          <w:spacing w:val="0"/>
          <w:kern w:val="0"/>
          <w:sz w:val="32"/>
          <w:szCs w:val="32"/>
        </w:rPr>
        <w:t>组织建设情况；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（二）基层法律服务所执业活动开展情况；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（三）基层法律服务所内部管理制度建立和实施情况；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napToGrid w:val="0"/>
          <w:color w:val="000000"/>
          <w:spacing w:val="0"/>
          <w:kern w:val="0"/>
          <w:sz w:val="32"/>
          <w:szCs w:val="32"/>
        </w:rPr>
      </w:pPr>
      <w:r>
        <w:rPr>
          <w:rFonts w:hint="eastAsia" w:ascii="宋体" w:hAnsi="宋体" w:eastAsia="仿宋_GB2312" w:cs="仿宋_GB2312"/>
          <w:snapToGrid w:val="0"/>
          <w:color w:val="000000"/>
          <w:spacing w:val="0"/>
          <w:kern w:val="0"/>
          <w:sz w:val="32"/>
          <w:szCs w:val="32"/>
          <w:lang w:eastAsia="zh-CN"/>
        </w:rPr>
        <w:t>（四）基层法律服务工作者执业表现情况；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黑体" w:cs="黑体"/>
          <w:color w:val="000000"/>
          <w:spacing w:val="0"/>
          <w:sz w:val="32"/>
          <w:szCs w:val="32"/>
        </w:rPr>
      </w:pPr>
      <w:r>
        <w:rPr>
          <w:rFonts w:hint="eastAsia" w:ascii="宋体" w:hAnsi="宋体" w:eastAsia="仿宋_GB2312" w:cs="仿宋_GB2312"/>
          <w:snapToGrid w:val="0"/>
          <w:color w:val="000000"/>
          <w:spacing w:val="0"/>
          <w:kern w:val="0"/>
          <w:sz w:val="32"/>
          <w:szCs w:val="32"/>
          <w:lang w:eastAsia="zh-CN"/>
        </w:rPr>
        <w:t>（五）基层法律服务工作者队伍建设情况。</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黑体" w:cs="黑体"/>
          <w:spacing w:val="0"/>
          <w:sz w:val="32"/>
          <w:szCs w:val="32"/>
          <w:lang w:eastAsia="zh-CN"/>
        </w:rPr>
      </w:pPr>
      <w:r>
        <w:rPr>
          <w:rFonts w:hint="eastAsia" w:ascii="宋体" w:hAnsi="宋体" w:eastAsia="黑体" w:cs="黑体"/>
          <w:spacing w:val="0"/>
          <w:sz w:val="32"/>
          <w:szCs w:val="32"/>
          <w:lang w:eastAsia="zh-CN"/>
        </w:rPr>
        <w:t>三</w:t>
      </w:r>
      <w:r>
        <w:rPr>
          <w:rFonts w:hint="eastAsia" w:ascii="宋体" w:hAnsi="宋体" w:eastAsia="黑体" w:cs="黑体"/>
          <w:spacing w:val="0"/>
          <w:sz w:val="32"/>
          <w:szCs w:val="32"/>
        </w:rPr>
        <w:t>、</w:t>
      </w:r>
      <w:r>
        <w:rPr>
          <w:rFonts w:hint="eastAsia" w:ascii="宋体" w:hAnsi="宋体" w:eastAsia="黑体" w:cs="黑体"/>
          <w:spacing w:val="0"/>
          <w:sz w:val="32"/>
          <w:szCs w:val="32"/>
          <w:lang w:eastAsia="zh-CN"/>
        </w:rPr>
        <w:t>法律依据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（一）</w:t>
      </w:r>
      <w:r>
        <w:rPr>
          <w:rFonts w:hint="eastAsia" w:ascii="宋体" w:hAnsi="宋体" w:eastAsia="仿宋_GB2312" w:cs="仿宋_GB2312"/>
          <w:spacing w:val="0"/>
          <w:sz w:val="32"/>
          <w:szCs w:val="32"/>
        </w:rPr>
        <w:t>《基层法律服务所管理办法》（2000年3月司法部令第59号公布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2017年12月司法部令第137号修订）第六条：“司法行政机关依据本办法对基层法律服务所进行管理和指导。”</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（二）</w:t>
      </w:r>
      <w:r>
        <w:rPr>
          <w:rFonts w:hint="eastAsia" w:ascii="宋体" w:hAnsi="宋体" w:eastAsia="仿宋_GB2312" w:cs="仿宋_GB2312"/>
          <w:spacing w:val="0"/>
          <w:sz w:val="32"/>
          <w:szCs w:val="32"/>
        </w:rPr>
        <w:t>《基层法律服务所管理办法》（2000年3月司法部令第59号公布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2017年12月司法部令第137号修订）第二十九条：“设区的市级或者直辖市的区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司法行政机关应当每年对基层法律服务所进行年度考核。对基层法律服务所进行年度考核的具体办法，由省、自治区、直辖市司法行政机关依据本办法和有关规定制定。”</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（三）</w:t>
      </w:r>
      <w:r>
        <w:rPr>
          <w:rFonts w:hint="eastAsia" w:ascii="宋体" w:hAnsi="宋体" w:eastAsia="仿宋_GB2312" w:cs="仿宋_GB2312"/>
          <w:spacing w:val="0"/>
          <w:sz w:val="32"/>
          <w:szCs w:val="32"/>
        </w:rPr>
        <w:t>《基层法律服务所管理办法》（2000年3月司法部令第59号公布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2017年12月司法部令第137号修订）第三十四条：“县级司法行政机关或者直辖市的区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司法行政机关要求，承担对基层法律服务所进行指导监督的具体工作。”</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（四）</w:t>
      </w:r>
      <w:r>
        <w:rPr>
          <w:rFonts w:hint="eastAsia" w:ascii="宋体" w:hAnsi="宋体" w:eastAsia="仿宋_GB2312" w:cs="仿宋_GB2312"/>
          <w:spacing w:val="0"/>
          <w:sz w:val="32"/>
          <w:szCs w:val="32"/>
        </w:rPr>
        <w:t>《基层法律服务工作者管理办法》</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2000年3月司法部令第60号公布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2017年12月司法部令第138号修订</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第五条：“司法行政机关依据本办法对基层法律服务工作者进行管理和指导。”</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（五）</w:t>
      </w:r>
      <w:r>
        <w:rPr>
          <w:rFonts w:hint="eastAsia" w:ascii="宋体" w:hAnsi="宋体" w:eastAsia="仿宋_GB2312" w:cs="仿宋_GB2312"/>
          <w:spacing w:val="0"/>
          <w:sz w:val="32"/>
          <w:szCs w:val="32"/>
        </w:rPr>
        <w:t>《基层法律服务工作者管理办法》</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2000年3月司法部令第60号公布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2017年12月司法部令第138号修订</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第四十条：“设区的市级或者直辖市的区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司法行政机关应当对基层法律服务工作者进行年度考核。对基层法律服务工作者进行年度考核的具体办法，由省、自治区、直辖市司法行政机关依据本办法和有关规定确定。”</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（六）</w:t>
      </w:r>
      <w:r>
        <w:rPr>
          <w:rFonts w:hint="eastAsia" w:ascii="宋体" w:hAnsi="宋体" w:eastAsia="仿宋_GB2312" w:cs="仿宋_GB2312"/>
          <w:spacing w:val="0"/>
          <w:sz w:val="32"/>
          <w:szCs w:val="32"/>
        </w:rPr>
        <w:t>《基层法律服务工作者管理办法》</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2000年3月司法部令第60号公布</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2017年12月司法部令第138号修订</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第四十四条：“县级司法行政机关或者直辖市的区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县</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rPr>
        <w:t>司法行政机关要求，承担对基层法律服务工作者进行指导监督的具体工作。”</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黑体" w:cs="黑体"/>
          <w:snapToGrid/>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pPr>
      <w:r>
        <w:rPr>
          <w:rFonts w:hint="eastAsia" w:ascii="宋体" w:hAnsi="宋体" w:eastAsia="方正小标宋简体" w:cs="方正小标宋简体"/>
          <w:snapToGrid/>
          <w:color w:val="000000" w:themeColor="text1"/>
          <w:spacing w:val="0"/>
          <w:kern w:val="2"/>
          <w:sz w:val="32"/>
          <w:szCs w:val="32"/>
          <w:lang w:val="en-US" w:eastAsia="zh-CN" w:bidi="ar-SA"/>
          <w14:textFill>
            <w14:solidFill>
              <w14:schemeClr w14:val="tx1"/>
            </w14:solidFill>
          </w14:textFill>
        </w:rPr>
        <w:t>（三）公证机构及公证员执业检查工作指引</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rPr>
        <w:t>抽查事项</w:t>
      </w:r>
    </w:p>
    <w:p>
      <w:pPr>
        <w:pStyle w:val="2"/>
        <w:keepNext w:val="0"/>
        <w:keepLines w:val="0"/>
        <w:pageBreakBefore w:val="0"/>
        <w:widowControl w:val="0"/>
        <w:kinsoku/>
        <w:wordWrap/>
        <w:overflowPunct/>
        <w:topLinePunct w:val="0"/>
        <w:autoSpaceDE w:val="0"/>
        <w:autoSpaceDN w:val="0"/>
        <w:bidi w:val="0"/>
        <w:adjustRightInd/>
        <w:snapToGrid/>
        <w:spacing w:afterAutospacing="0" w:line="600" w:lineRule="exact"/>
        <w:ind w:left="0" w:leftChars="0" w:righ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val="en-US" w:eastAsia="zh-CN"/>
        </w:rPr>
        <w:t>公证机构及公证员执业检查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黑体" w:cs="黑体"/>
          <w:color w:val="000000"/>
          <w:spacing w:val="0"/>
          <w:sz w:val="32"/>
          <w:szCs w:val="32"/>
        </w:rPr>
      </w:pPr>
      <w:r>
        <w:rPr>
          <w:rFonts w:hint="eastAsia" w:ascii="宋体" w:hAnsi="宋体" w:eastAsia="黑体" w:cs="黑体"/>
          <w:color w:val="000000"/>
          <w:spacing w:val="0"/>
          <w:sz w:val="32"/>
          <w:szCs w:val="32"/>
          <w:lang w:eastAsia="zh-CN"/>
        </w:rPr>
        <w:t>二、</w:t>
      </w:r>
      <w:r>
        <w:rPr>
          <w:rFonts w:hint="eastAsia" w:ascii="宋体" w:hAnsi="宋体" w:eastAsia="黑体" w:cs="黑体"/>
          <w:color w:val="000000"/>
          <w:spacing w:val="0"/>
          <w:sz w:val="32"/>
          <w:szCs w:val="32"/>
        </w:rPr>
        <w:t>检查内容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right="0" w:rightChars="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val="en-US" w:eastAsia="zh-CN"/>
        </w:rPr>
        <w:t>(一）</w:t>
      </w:r>
      <w:r>
        <w:rPr>
          <w:rFonts w:hint="eastAsia" w:ascii="宋体" w:hAnsi="宋体" w:eastAsia="仿宋_GB2312" w:cs="仿宋_GB2312"/>
          <w:i w:val="0"/>
          <w:iCs w:val="0"/>
          <w:caps w:val="0"/>
          <w:spacing w:val="0"/>
          <w:sz w:val="32"/>
          <w:szCs w:val="32"/>
          <w:shd w:val="clear" w:fill="FFFFFF"/>
        </w:rPr>
        <w:t>公证机构组织建设情况；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right="0" w:rightChars="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eastAsia="zh-CN"/>
        </w:rPr>
        <w:t>（二）</w:t>
      </w:r>
      <w:r>
        <w:rPr>
          <w:rFonts w:hint="eastAsia" w:ascii="宋体" w:hAnsi="宋体" w:eastAsia="仿宋_GB2312" w:cs="仿宋_GB2312"/>
          <w:i w:val="0"/>
          <w:iCs w:val="0"/>
          <w:caps w:val="0"/>
          <w:spacing w:val="0"/>
          <w:sz w:val="32"/>
          <w:szCs w:val="32"/>
          <w:shd w:val="clear" w:fill="FFFFFF"/>
        </w:rPr>
        <w:t>公证机构队伍建设情况；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rightChars="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eastAsia="zh-CN"/>
        </w:rPr>
        <w:t>（三）</w:t>
      </w:r>
      <w:r>
        <w:rPr>
          <w:rFonts w:hint="eastAsia" w:ascii="宋体" w:hAnsi="宋体" w:eastAsia="仿宋_GB2312" w:cs="仿宋_GB2312"/>
          <w:i w:val="0"/>
          <w:iCs w:val="0"/>
          <w:caps w:val="0"/>
          <w:spacing w:val="0"/>
          <w:sz w:val="32"/>
          <w:szCs w:val="32"/>
          <w:shd w:val="clear" w:fill="FFFFFF"/>
        </w:rPr>
        <w:t>公证机构执业活动情况；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rightChars="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eastAsia="zh-CN"/>
        </w:rPr>
        <w:t>（四）</w:t>
      </w:r>
      <w:r>
        <w:rPr>
          <w:rFonts w:hint="eastAsia" w:ascii="宋体" w:hAnsi="宋体" w:eastAsia="仿宋_GB2312" w:cs="仿宋_GB2312"/>
          <w:i w:val="0"/>
          <w:iCs w:val="0"/>
          <w:caps w:val="0"/>
          <w:spacing w:val="0"/>
          <w:sz w:val="32"/>
          <w:szCs w:val="32"/>
          <w:shd w:val="clear" w:fill="FFFFFF"/>
        </w:rPr>
        <w:t>公证机构质量控制情况；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rightChars="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eastAsia="zh-CN"/>
        </w:rPr>
        <w:t>（五）</w:t>
      </w:r>
      <w:r>
        <w:rPr>
          <w:rFonts w:hint="eastAsia" w:ascii="宋体" w:hAnsi="宋体" w:eastAsia="仿宋_GB2312" w:cs="仿宋_GB2312"/>
          <w:i w:val="0"/>
          <w:iCs w:val="0"/>
          <w:caps w:val="0"/>
          <w:spacing w:val="0"/>
          <w:sz w:val="32"/>
          <w:szCs w:val="32"/>
          <w:shd w:val="clear" w:fill="FFFFFF"/>
        </w:rPr>
        <w:t>公证机构内部管理情况。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Autospacing="0" w:line="600" w:lineRule="exact"/>
        <w:ind w:left="0" w:leftChars="0" w:right="0" w:rightChars="0" w:firstLine="640" w:firstLineChars="200"/>
        <w:jc w:val="both"/>
        <w:textAlignment w:val="auto"/>
        <w:rPr>
          <w:rFonts w:hint="eastAsia" w:ascii="宋体" w:hAnsi="宋体" w:eastAsia="黑体" w:cs="黑体"/>
          <w:color w:val="000000"/>
          <w:spacing w:val="0"/>
          <w:sz w:val="32"/>
          <w:szCs w:val="32"/>
          <w:lang w:eastAsia="zh-CN"/>
        </w:rPr>
      </w:pPr>
      <w:r>
        <w:rPr>
          <w:rFonts w:hint="eastAsia" w:ascii="宋体" w:hAnsi="宋体" w:eastAsia="黑体" w:cs="黑体"/>
          <w:color w:val="000000"/>
          <w:spacing w:val="0"/>
          <w:sz w:val="32"/>
          <w:szCs w:val="32"/>
          <w:lang w:eastAsia="zh-CN"/>
        </w:rPr>
        <w:t>三、法律依据</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rightChars="0" w:firstLine="640" w:firstLineChars="200"/>
        <w:jc w:val="both"/>
        <w:rPr>
          <w:rFonts w:hint="eastAsia" w:ascii="宋体" w:hAnsi="宋体" w:eastAsia="仿宋_GB2312" w:cs="仿宋_GB2312"/>
          <w:i w:val="0"/>
          <w:iCs w:val="0"/>
          <w:caps w:val="0"/>
          <w:spacing w:val="0"/>
          <w:sz w:val="32"/>
          <w:szCs w:val="32"/>
        </w:rPr>
      </w:pPr>
      <w:r>
        <w:rPr>
          <w:rFonts w:hint="eastAsia" w:ascii="宋体" w:hAnsi="宋体" w:eastAsia="仿宋_GB2312" w:cs="仿宋_GB2312"/>
          <w:i w:val="0"/>
          <w:iCs w:val="0"/>
          <w:caps w:val="0"/>
          <w:spacing w:val="0"/>
          <w:sz w:val="32"/>
          <w:szCs w:val="32"/>
          <w:shd w:val="clear" w:fill="FFFFFF"/>
          <w:lang w:eastAsia="zh-CN"/>
        </w:rPr>
        <w:t>（一）</w:t>
      </w:r>
      <w:r>
        <w:rPr>
          <w:rFonts w:hint="eastAsia" w:ascii="宋体" w:hAnsi="宋体" w:eastAsia="仿宋_GB2312" w:cs="仿宋_GB2312"/>
          <w:i w:val="0"/>
          <w:iCs w:val="0"/>
          <w:caps w:val="0"/>
          <w:spacing w:val="0"/>
          <w:sz w:val="32"/>
          <w:szCs w:val="32"/>
          <w:shd w:val="clear" w:fill="FFFFFF"/>
        </w:rPr>
        <w:t>《公证法》（2005年8月通过，2017年9月修正）第五条：“司法行政部门依照本法规定对公证机构、公证员和公证协会进行监督、指导。”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i w:val="0"/>
          <w:iCs w:val="0"/>
          <w:caps w:val="0"/>
          <w:spacing w:val="0"/>
          <w:sz w:val="32"/>
          <w:szCs w:val="32"/>
        </w:rPr>
      </w:pPr>
      <w:r>
        <w:rPr>
          <w:rFonts w:hint="eastAsia" w:ascii="宋体" w:hAnsi="宋体" w:eastAsia="仿宋_GB2312" w:cs="仿宋_GB2312"/>
          <w:i w:val="0"/>
          <w:iCs w:val="0"/>
          <w:caps w:val="0"/>
          <w:spacing w:val="0"/>
          <w:sz w:val="32"/>
          <w:szCs w:val="32"/>
          <w:shd w:val="clear" w:fill="FFFFFF"/>
          <w:lang w:eastAsia="zh-CN"/>
        </w:rPr>
        <w:t>（二）</w:t>
      </w:r>
      <w:r>
        <w:rPr>
          <w:rFonts w:hint="eastAsia" w:ascii="宋体" w:hAnsi="宋体" w:eastAsia="仿宋_GB2312" w:cs="仿宋_GB2312"/>
          <w:i w:val="0"/>
          <w:iCs w:val="0"/>
          <w:caps w:val="0"/>
          <w:spacing w:val="0"/>
          <w:sz w:val="32"/>
          <w:szCs w:val="32"/>
          <w:shd w:val="clear" w:fill="FFFFFF"/>
        </w:rPr>
        <w:t>《公证程序规则》（2006年5月司法部令第103号发布，2020年10月司法部令第145号修正）第八条：“司法行政机关依照《公证法》和本规则规定，对公证机构和公证员的执业活动和遵守程序规则的情况进行监督、指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i w:val="0"/>
          <w:iCs w:val="0"/>
          <w:caps w:val="0"/>
          <w:spacing w:val="0"/>
          <w:sz w:val="32"/>
          <w:szCs w:val="32"/>
          <w:shd w:val="clear" w:fill="FFFFFF"/>
        </w:rPr>
      </w:pPr>
      <w:r>
        <w:rPr>
          <w:rFonts w:hint="eastAsia" w:ascii="宋体" w:hAnsi="宋体" w:eastAsia="仿宋_GB2312" w:cs="仿宋_GB2312"/>
          <w:i w:val="0"/>
          <w:iCs w:val="0"/>
          <w:caps w:val="0"/>
          <w:spacing w:val="0"/>
          <w:sz w:val="32"/>
          <w:szCs w:val="32"/>
          <w:shd w:val="clear" w:fill="FFFFFF"/>
          <w:lang w:eastAsia="zh-CN"/>
        </w:rPr>
        <w:t>（三）</w:t>
      </w:r>
      <w:r>
        <w:rPr>
          <w:rFonts w:hint="eastAsia" w:ascii="宋体" w:hAnsi="宋体" w:eastAsia="仿宋_GB2312" w:cs="仿宋_GB2312"/>
          <w:i w:val="0"/>
          <w:iCs w:val="0"/>
          <w:caps w:val="0"/>
          <w:spacing w:val="0"/>
          <w:sz w:val="32"/>
          <w:szCs w:val="32"/>
          <w:shd w:val="clear" w:fill="FFFFFF"/>
        </w:rPr>
        <w:t>《公证机构执业管理办法》（2006年2月司法部令第101号发布）第五条：“司法行政机关依照《公证法》和有关法律、法规、规章，对公证机构进行监督、指导</w:t>
      </w:r>
      <w:r>
        <w:rPr>
          <w:rFonts w:hint="eastAsia" w:ascii="宋体" w:hAnsi="宋体" w:eastAsia="仿宋_GB2312" w:cs="仿宋_GB2312"/>
          <w:i w:val="0"/>
          <w:iCs w:val="0"/>
          <w:caps w:val="0"/>
          <w:spacing w:val="0"/>
          <w:sz w:val="32"/>
          <w:szCs w:val="32"/>
          <w:shd w:val="clear" w:fill="FFFFFF"/>
          <w:lang w:eastAsia="zh-CN"/>
        </w:rPr>
        <w:t>。”</w:t>
      </w:r>
      <w:r>
        <w:rPr>
          <w:rFonts w:hint="eastAsia" w:ascii="宋体" w:hAnsi="宋体" w:eastAsia="仿宋_GB2312" w:cs="仿宋_GB2312"/>
          <w:i w:val="0"/>
          <w:iCs w:val="0"/>
          <w:caps w:val="0"/>
          <w:spacing w:val="0"/>
          <w:sz w:val="32"/>
          <w:szCs w:val="32"/>
          <w:shd w:val="clear" w:fill="FFFFFF"/>
        </w:rPr>
        <w:t>第二十四条：“司法行政机关依法对公证机构的组织建设、队伍建设、执业活动、质量控制、内部管理等情况进行监督。”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i w:val="0"/>
          <w:iCs w:val="0"/>
          <w:caps w:val="0"/>
          <w:spacing w:val="0"/>
          <w:sz w:val="32"/>
          <w:szCs w:val="32"/>
          <w:shd w:val="clear"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left="0" w:leftChars="0" w:right="0" w:firstLine="640" w:firstLineChars="200"/>
        <w:jc w:val="both"/>
        <w:rPr>
          <w:rFonts w:hint="eastAsia" w:ascii="宋体" w:hAnsi="宋体" w:eastAsia="仿宋_GB2312" w:cs="仿宋_GB2312"/>
          <w:i w:val="0"/>
          <w:iCs w:val="0"/>
          <w:caps w:val="0"/>
          <w:spacing w:val="0"/>
          <w:sz w:val="32"/>
          <w:szCs w:val="32"/>
          <w:shd w:val="clear" w:fill="FFFFFF"/>
          <w:lang w:eastAsia="zh-CN"/>
        </w:rPr>
      </w:pPr>
      <w:r>
        <w:rPr>
          <w:rFonts w:hint="eastAsia" w:ascii="宋体" w:hAnsi="宋体" w:eastAsia="仿宋_GB2312" w:cs="仿宋_GB2312"/>
          <w:i w:val="0"/>
          <w:iCs w:val="0"/>
          <w:caps w:val="0"/>
          <w:spacing w:val="0"/>
          <w:sz w:val="32"/>
          <w:szCs w:val="32"/>
          <w:shd w:val="clear" w:fill="FFFFFF"/>
          <w:lang w:eastAsia="zh-CN"/>
        </w:rPr>
        <w:t>本工作指引自公布之日起施行</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0"/>
        <w:jc w:val="both"/>
        <w:textAlignment w:val="auto"/>
        <w:rPr>
          <w:rFonts w:hint="eastAsia" w:ascii="宋体" w:hAnsi="宋体" w:eastAsia="仿宋_GB2312" w:cs="仿宋_GB2312"/>
          <w:sz w:val="32"/>
          <w:szCs w:val="32"/>
        </w:rPr>
      </w:pPr>
    </w:p>
    <w:p>
      <w:pPr>
        <w:rPr>
          <w:rFonts w:hint="eastAsia" w:ascii="宋体" w:hAnsi="宋体" w:eastAsia="仿宋_GB2312" w:cs="仿宋_GB2312"/>
          <w:sz w:val="32"/>
          <w:szCs w:val="32"/>
        </w:rPr>
      </w:pPr>
    </w:p>
    <w:p>
      <w:pPr>
        <w:pStyle w:val="2"/>
        <w:rPr>
          <w:rFonts w:hint="eastAsia" w:ascii="宋体" w:hAnsi="宋体" w:eastAsia="仿宋_GB2312" w:cs="仿宋_GB2312"/>
          <w:sz w:val="32"/>
          <w:szCs w:val="32"/>
        </w:rPr>
      </w:pPr>
    </w:p>
    <w:p>
      <w:pPr>
        <w:rPr>
          <w:rFonts w:hint="eastAsia" w:ascii="宋体" w:hAnsi="宋体" w:eastAsia="仿宋" w:cs="仿宋"/>
          <w:sz w:val="32"/>
          <w:szCs w:val="40"/>
          <w:lang w:val="en-US" w:eastAsia="zh-CN"/>
        </w:rPr>
      </w:pPr>
    </w:p>
    <w:p>
      <w:pPr>
        <w:pStyle w:val="2"/>
        <w:rPr>
          <w:rFonts w:hint="eastAsia" w:ascii="宋体" w:hAnsi="宋体" w:eastAsia="仿宋" w:cs="仿宋"/>
          <w:sz w:val="32"/>
          <w:szCs w:val="40"/>
          <w:lang w:val="en-US" w:eastAsia="zh-CN"/>
        </w:rPr>
      </w:pPr>
    </w:p>
    <w:p>
      <w:pPr>
        <w:rPr>
          <w:rFonts w:hint="eastAsia" w:ascii="宋体" w:hAnsi="宋体" w:eastAsia="仿宋" w:cs="仿宋"/>
          <w:sz w:val="32"/>
          <w:szCs w:val="40"/>
          <w:lang w:val="en-US" w:eastAsia="zh-CN"/>
        </w:rPr>
      </w:pPr>
    </w:p>
    <w:p>
      <w:pPr>
        <w:pStyle w:val="2"/>
        <w:rPr>
          <w:rFonts w:hint="eastAsia" w:ascii="宋体" w:hAnsi="宋体" w:eastAsia="仿宋" w:cs="仿宋"/>
          <w:sz w:val="32"/>
          <w:szCs w:val="40"/>
          <w:lang w:val="en-US" w:eastAsia="zh-CN"/>
        </w:rPr>
      </w:pPr>
    </w:p>
    <w:p>
      <w:pPr>
        <w:rPr>
          <w:rFonts w:hint="eastAsia" w:ascii="宋体" w:hAnsi="宋体" w:eastAsia="仿宋" w:cs="仿宋"/>
          <w:sz w:val="32"/>
          <w:szCs w:val="40"/>
          <w:lang w:val="en-US" w:eastAsia="zh-CN"/>
        </w:rPr>
      </w:pPr>
    </w:p>
    <w:p>
      <w:pPr>
        <w:pStyle w:val="2"/>
        <w:rPr>
          <w:rFonts w:hint="eastAsia" w:ascii="宋体" w:hAnsi="宋体" w:eastAsia="仿宋" w:cs="仿宋"/>
          <w:sz w:val="32"/>
          <w:szCs w:val="40"/>
          <w:lang w:val="en-US" w:eastAsia="zh-CN"/>
        </w:rPr>
      </w:pPr>
    </w:p>
    <w:p>
      <w:pPr>
        <w:rPr>
          <w:rFonts w:hint="eastAsia" w:ascii="宋体" w:hAnsi="宋体" w:eastAsia="仿宋" w:cs="仿宋"/>
          <w:sz w:val="32"/>
          <w:szCs w:val="40"/>
          <w:lang w:val="en-US" w:eastAsia="zh-CN"/>
        </w:rPr>
      </w:pPr>
    </w:p>
    <w:p>
      <w:pPr>
        <w:pStyle w:val="2"/>
        <w:rPr>
          <w:rFonts w:hint="eastAsia" w:ascii="宋体" w:hAnsi="宋体" w:eastAsia="仿宋" w:cs="仿宋"/>
          <w:sz w:val="32"/>
          <w:szCs w:val="40"/>
          <w:lang w:val="en-US" w:eastAsia="zh-CN"/>
        </w:rPr>
      </w:pPr>
    </w:p>
    <w:p>
      <w:pPr>
        <w:rPr>
          <w:rFonts w:hint="eastAsia" w:ascii="宋体" w:hAnsi="宋体" w:eastAsia="仿宋" w:cs="仿宋"/>
          <w:sz w:val="32"/>
          <w:szCs w:val="40"/>
          <w:lang w:val="en-US" w:eastAsia="zh-CN"/>
        </w:rPr>
      </w:pPr>
    </w:p>
    <w:p>
      <w:pPr>
        <w:pStyle w:val="2"/>
        <w:rPr>
          <w:rFonts w:hint="eastAsia" w:ascii="宋体" w:hAnsi="宋体" w:eastAsia="仿宋" w:cs="仿宋"/>
          <w:sz w:val="32"/>
          <w:szCs w:val="40"/>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210" w:rightChars="100"/>
        <w:jc w:val="both"/>
        <w:textAlignment w:val="auto"/>
        <w:rPr>
          <w:rFonts w:hint="eastAsia" w:ascii="宋体" w:hAnsi="宋体" w:eastAsia="仿宋_GB2312" w:cs="仿宋_GB2312"/>
          <w:sz w:val="32"/>
          <w:szCs w:val="32"/>
          <w:lang w:val="en-US" w:eastAsia="zh-CN"/>
        </w:rPr>
      </w:pPr>
      <w:r>
        <w:rPr>
          <w:rFonts w:ascii="宋体" w:hAnsi="宋体"/>
          <w:sz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409575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5pt;margin-top:32.25pt;height:0.05pt;width:442.2pt;z-index:251660288;mso-width-relative:page;mso-height-relative:page;" filled="f" stroked="t" coordsize="21600,21600" o:gfxdata="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">
                <v:fill on="f" focussize="0,0"/>
                <v:stroke color="#000000" joinstyle="round"/>
                <v:imagedata o:title=""/>
                <o:lock v:ext="edit" aspectratio="f"/>
              </v:line>
            </w:pict>
          </mc:Fallback>
        </mc:AlternateContent>
      </w: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24765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5pt;margin-top:1.95pt;height:0.05pt;width:442.2pt;z-index:251659264;mso-width-relative:page;mso-height-relative:page;" filled="f" stroked="t" coordsize="21600,21600" o:gfxdata="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vk1dFdUAAAAGAQAA&#10;DwAAAAAAAAABACAAAAA4AAAAZHJzL2Rvd25yZXYueG1sUEsBAhQAFAAAAAgAh07iQD6sNKT6AQAA&#10;9AMAAA4AAAAAAAAAAQAgAAAAOgEAAGRycy9lMm9Eb2MueG1sUEsBAhQACgAAAAAAh07iQAAAAAAA&#10;AAAAAAAAAAQAAAAAAAAAAAAQAAAAFgAAAGRycy9QSwECFAAKAAAAAACHTuJAAAAAAAAAAAAAAAAA&#10;BgAAAAAAAAAAABAAAABgAwAAX3JlbHMvUEsFBgAAAAAGAAYAWQEAAKYFAAAAAA==&#10;">
                <v:fill on="f" focussize="0,0"/>
                <v:stroke color="#000000" joinstyle="round"/>
                <v:imagedata o:title=""/>
                <o:lock v:ext="edit" aspectratio="f"/>
              </v:line>
            </w:pict>
          </mc:Fallback>
        </mc:AlternateContent>
      </w:r>
      <w:bookmarkStart w:id="0" w:name="_GoBack"/>
      <w:bookmarkEnd w:id="0"/>
    </w:p>
    <w:sectPr>
      <w:footerReference r:id="rId5" w:type="default"/>
      <w:pgSz w:w="11906" w:h="16838"/>
      <w:pgMar w:top="1701" w:right="1587" w:bottom="1587" w:left="1587" w:header="851" w:footer="1304"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16ED"/>
    <w:multiLevelType w:val="singleLevel"/>
    <w:tmpl w:val="923916ED"/>
    <w:lvl w:ilvl="0" w:tentative="0">
      <w:start w:val="1"/>
      <w:numFmt w:val="chineseCounting"/>
      <w:suff w:val="nothing"/>
      <w:lvlText w:val="%1、"/>
      <w:lvlJc w:val="left"/>
      <w:rPr>
        <w:rFonts w:hint="eastAsia"/>
      </w:rPr>
    </w:lvl>
  </w:abstractNum>
  <w:abstractNum w:abstractNumId="1">
    <w:nsid w:val="C1D11AE8"/>
    <w:multiLevelType w:val="singleLevel"/>
    <w:tmpl w:val="C1D11AE8"/>
    <w:lvl w:ilvl="0" w:tentative="0">
      <w:start w:val="1"/>
      <w:numFmt w:val="chineseCounting"/>
      <w:suff w:val="nothing"/>
      <w:lvlText w:val="（%1）"/>
      <w:lvlJc w:val="left"/>
      <w:rPr>
        <w:rFonts w:hint="eastAsia"/>
      </w:rPr>
    </w:lvl>
  </w:abstractNum>
  <w:abstractNum w:abstractNumId="2">
    <w:nsid w:val="2F9A9070"/>
    <w:multiLevelType w:val="singleLevel"/>
    <w:tmpl w:val="2F9A907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zU3MWI3Nzc2OWU1ZDJmNDIwOThhMjczZmY3ZmEifQ=="/>
  </w:docVars>
  <w:rsids>
    <w:rsidRoot w:val="56CD528C"/>
    <w:rsid w:val="009E70F5"/>
    <w:rsid w:val="0C945850"/>
    <w:rsid w:val="0CC43240"/>
    <w:rsid w:val="1B0911B7"/>
    <w:rsid w:val="202B2DF4"/>
    <w:rsid w:val="2607029E"/>
    <w:rsid w:val="2D0669E7"/>
    <w:rsid w:val="328F4EF0"/>
    <w:rsid w:val="394E1A83"/>
    <w:rsid w:val="3E8D5AD7"/>
    <w:rsid w:val="55BE3295"/>
    <w:rsid w:val="56CD528C"/>
    <w:rsid w:val="573B2E2C"/>
    <w:rsid w:val="5B5437AD"/>
    <w:rsid w:val="5DDB1F64"/>
    <w:rsid w:val="69B1626F"/>
    <w:rsid w:val="6DBDA35F"/>
    <w:rsid w:val="72C664D9"/>
    <w:rsid w:val="75C30B89"/>
    <w:rsid w:val="761B163F"/>
    <w:rsid w:val="76D637B8"/>
    <w:rsid w:val="796920D3"/>
    <w:rsid w:val="79B2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spacing w:before="38"/>
      <w:ind w:left="2323"/>
      <w:outlineLvl w:val="0"/>
    </w:pPr>
    <w:rPr>
      <w:rFonts w:ascii="黑体" w:hAnsi="黑体" w:eastAsia="黑体" w:cs="黑体"/>
      <w:b/>
      <w:bCs/>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68"/>
    </w:pPr>
    <w:rPr>
      <w:rFonts w:ascii="仿宋" w:hAnsi="仿宋" w:eastAsia="仿宋" w:cs="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Body Text First Indent 2"/>
    <w:basedOn w:val="11"/>
    <w:qFormat/>
    <w:uiPriority w:val="0"/>
    <w:pPr>
      <w:widowControl w:val="0"/>
      <w:spacing w:after="120" w:afterLines="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1">
    <w:name w:val="Body Text Indent"/>
    <w:qFormat/>
    <w:uiPriority w:val="0"/>
    <w:pPr>
      <w:widowControl w:val="0"/>
      <w:spacing w:after="120" w:afterLines="0"/>
      <w:ind w:left="420" w:leftChars="200"/>
      <w:jc w:val="both"/>
    </w:pPr>
    <w:rPr>
      <w:rFonts w:ascii="Calibri" w:hAnsi="Calibri" w:eastAsia="宋体" w:cs="Times New Roman"/>
      <w:kern w:val="2"/>
      <w:sz w:val="21"/>
      <w:szCs w:val="24"/>
      <w:lang w:val="en-US" w:eastAsia="zh-CN" w:bidi="ar-SA"/>
    </w:rPr>
  </w:style>
  <w:style w:type="paragraph" w:customStyle="1" w:styleId="12">
    <w:name w:val="Table Paragraph"/>
    <w:basedOn w:val="1"/>
    <w:qFormat/>
    <w:uiPriority w:val="1"/>
    <w:rPr>
      <w:rFonts w:ascii="仿宋" w:hAnsi="仿宋" w:eastAsia="仿宋" w:cs="仿宋"/>
    </w:rPr>
  </w:style>
  <w:style w:type="paragraph" w:styleId="13">
    <w:name w:val="List Paragraph"/>
    <w:basedOn w:val="1"/>
    <w:qFormat/>
    <w:uiPriority w:val="1"/>
    <w:pPr>
      <w:ind w:left="768" w:firstLine="639"/>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4891</Words>
  <Characters>5034</Characters>
  <Lines>0</Lines>
  <Paragraphs>0</Paragraphs>
  <TotalTime>12</TotalTime>
  <ScaleCrop>false</ScaleCrop>
  <LinksUpToDate>false</LinksUpToDate>
  <CharactersWithSpaces>5060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2023-06-25T16:20:00Z</dcterms:created>
  <dc:creator>ZZZZZZZZZZ</dc:creator>
  <cp:lastModifiedBy>greatwall</cp:lastModifiedBy>
  <cp:lastPrinted>2023-06-26T16:34:00Z</cp:lastPrinted>
  <dcterms:modified xsi:type="dcterms:W3CDTF">2023-06-28T15:48:19Z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0E202A56D058435983BB313E0DCEF436_13</vt:lpwstr>
  </property>
</Properties>
</file>