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szCs w:val="32"/>
          <w:lang w:val="en-US" w:eastAsia="zh-CN"/>
        </w:rPr>
      </w:pPr>
      <w:bookmarkStart w:id="0" w:name="_GoBack"/>
      <w:bookmarkEnd w:id="0"/>
      <w:r>
        <w:rPr>
          <w:rFonts w:hint="eastAsia" w:ascii="宋体" w:hAnsi="宋体"/>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szCs w:val="32"/>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宋体" w:hAnsi="宋体" w:eastAsia="仿宋_GB2312"/>
          <w:sz w:val="32"/>
          <w:szCs w:val="32"/>
        </w:rPr>
      </w:pPr>
      <w:r>
        <w:rPr>
          <w:rFonts w:hint="eastAsia" w:ascii="宋体" w:hAnsi="宋体" w:eastAsia="仿宋_GB2312"/>
          <w:sz w:val="32"/>
          <w:szCs w:val="32"/>
          <w:lang w:eastAsia="zh-CN"/>
        </w:rPr>
        <w:t>济司发</w:t>
      </w:r>
      <w:r>
        <w:rPr>
          <w:rFonts w:hint="eastAsia" w:ascii="宋体" w:hAnsi="宋体" w:eastAsia="仿宋_GB2312"/>
          <w:sz w:val="32"/>
          <w:szCs w:val="32"/>
        </w:rPr>
        <w:t>〔20</w:t>
      </w:r>
      <w:r>
        <w:rPr>
          <w:rFonts w:hint="eastAsia" w:eastAsia="仿宋_GB2312"/>
          <w:sz w:val="32"/>
          <w:szCs w:val="32"/>
          <w:lang w:val="en-US" w:eastAsia="zh-CN"/>
        </w:rPr>
        <w:t>20</w:t>
      </w:r>
      <w:r>
        <w:rPr>
          <w:rFonts w:hint="eastAsia" w:ascii="宋体" w:hAnsi="宋体" w:eastAsia="仿宋_GB2312"/>
          <w:sz w:val="32"/>
          <w:szCs w:val="32"/>
        </w:rPr>
        <w:t>〕</w:t>
      </w:r>
      <w:r>
        <w:rPr>
          <w:rFonts w:hint="eastAsia" w:ascii="宋体" w:hAnsi="宋体" w:eastAsia="仿宋_GB2312"/>
          <w:sz w:val="32"/>
          <w:szCs w:val="32"/>
          <w:lang w:val="en-US" w:eastAsia="zh-CN"/>
        </w:rPr>
        <w:t>1</w:t>
      </w:r>
      <w:r>
        <w:rPr>
          <w:rFonts w:hint="eastAsia" w:ascii="宋体" w:hAnsi="宋体" w:eastAsia="仿宋_GB2312"/>
          <w:sz w:val="32"/>
          <w:szCs w:val="32"/>
        </w:rPr>
        <w:t>号</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宋体"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济源</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司法局关于开展2020年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“双随机一公开”专项执法检查的通知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局属各科室、各单位：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 “双随机一公开”监管工作部署的要求，进一步</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法律服务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机构的</w:t>
      </w:r>
      <w:r>
        <w:rPr>
          <w:rFonts w:hint="eastAsia" w:ascii="仿宋_GB2312" w:hAnsi="仿宋_GB2312" w:eastAsia="仿宋_GB2312" w:cs="仿宋_GB2312"/>
          <w:color w:val="000000" w:themeColor="text1"/>
          <w:sz w:val="32"/>
          <w:szCs w:val="32"/>
          <w14:textFill>
            <w14:solidFill>
              <w14:schemeClr w14:val="tx1"/>
            </w14:solidFill>
          </w14:textFill>
        </w:rPr>
        <w:t>事中事后监管，</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促进法律服务机构规范执业，提升法律服务行业的服务能力和服务水平，</w:t>
      </w:r>
      <w:r>
        <w:rPr>
          <w:rFonts w:hint="eastAsia" w:ascii="仿宋_GB2312" w:hAnsi="仿宋_GB2312" w:eastAsia="仿宋_GB2312" w:cs="仿宋_GB2312"/>
          <w:color w:val="000000" w:themeColor="text1"/>
          <w:sz w:val="32"/>
          <w:szCs w:val="32"/>
          <w14:textFill>
            <w14:solidFill>
              <w14:schemeClr w14:val="tx1"/>
            </w14:solidFill>
          </w14:textFill>
        </w:rPr>
        <w:t>经局党组研究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决定对全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法律服务机构开展“双随机一公开”执法检查，现将有关事项通知如下：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一、检查时间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2020年10月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日至2020年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二、抽查对象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辖区内的</w:t>
      </w:r>
      <w:r>
        <w:rPr>
          <w:rFonts w:hint="eastAsia" w:ascii="仿宋_GB2312" w:hAnsi="仿宋_GB2312" w:eastAsia="仿宋_GB2312" w:cs="仿宋_GB2312"/>
          <w:color w:val="000000" w:themeColor="text1"/>
          <w:sz w:val="32"/>
          <w:szCs w:val="32"/>
          <w14:textFill>
            <w14:solidFill>
              <w14:schemeClr w14:val="tx1"/>
            </w14:solidFill>
          </w14:textFill>
        </w:rPr>
        <w:t>律师事务所、基层法律服务所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公证处</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市场主体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三、抽查方式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随机抽查比例不低于市场主体机构数的25%，根据抽查对象的类型，从行政执法人员名录库（附件2）中随机抽取2名以上检查人员。如被抽取的检查人员因特殊原因而无法履行职责的，经局领导同意后，重新随机抽取递补检查人员。</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抽查内容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根据《济源市司法局随机抽查事项清单》（附件3）的抽查项目开展检查，主要检查内部管理情况、执业情况、执业纪律情况等。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五、检查工作流程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1.抽查对象和检查人员名单产生。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检查前，通过摇号、机选等方式从市场主体名录库和行政执法人员名录库中随机抽取被检查单位和检查人员，并填写“济源市司法局‘双随机一公开’抽查对象抽取过程记录表”（附件4），抽选时间另行通知。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2.检查过程。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检查名单确定后，检查人员应在规定时间内开展检查工作。检查以全面听取抽查对象工作情况汇报、查看内部管理制度、查看收案登记和财务资料、随机抽查档案资料、随机回访服务对象等方式进行，并对检查情况和处理结果予以记录，填写“济源市司法局‘双随机一公开’抽查工作现场检查记录表”（附件5），存档备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3.结果处理。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检查工作结束7个工作日内，要将检查结果通过印发文件、门户网站发布等方式向被检查单位和社会公开。对检查中发现的有关问题和违法线索，按照法定程序依法予以处理。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1.提高思想认识。</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局各相关科室、全市各律师事务所、基层法律服务所要高度重视，把进一步推进和落实“双随机一公开”执法检查工作摆在突出位置，确保该项工作顺利进行。“双随机一公开”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检查结果与法律服务单位年度评优评先挂钩。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2.严格工作纪律。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检查人员对抽查对象实施检查时，要严格按照法律、法规及局相关规定，</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按照实事求是的原则，对被抽查对象展开严谨细致的抽查工作。在抽查工作中，检查人员要如实记录检查情况、填写表格并要求抽查对象签字盖章，整个过程做到程序规范化、内容精细化、过程痕迹化。抽查结束后，及时整理好检查材料，并按要求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法制科</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附件：1.济源市司法局市场主体名录库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2.济源市司法局行政执法人员名录库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3.济源市司法局“双随机一公开”抽查事项清单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4.济源市司法局“双随机一公开”抽查对象抽取过程记录表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5.济源市司法局“双随机一公开”抽查工作现场检查记录表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2020年10月19日</w:t>
      </w:r>
    </w:p>
    <w:p>
      <w:pPr>
        <w:spacing w:line="600" w:lineRule="exact"/>
        <w:rPr>
          <w:rFonts w:hint="eastAsia" w:ascii="宋体" w:hAnsi="宋体" w:eastAsia="黑体" w:cs="黑体"/>
          <w:sz w:val="30"/>
          <w:szCs w:val="30"/>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rPr>
          <w:rFonts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shd w:val="clear" w:color="auto" w:fill="FFFFFF"/>
          <w:lang w:eastAsia="zh-CN"/>
        </w:rPr>
        <w:t>济源市司法局</w:t>
      </w:r>
      <w:r>
        <w:rPr>
          <w:rFonts w:hint="eastAsia" w:ascii="方正大标宋简体" w:hAnsi="方正大标宋简体" w:eastAsia="方正大标宋简体" w:cs="方正大标宋简体"/>
          <w:bCs/>
          <w:color w:val="000000"/>
          <w:sz w:val="44"/>
          <w:szCs w:val="44"/>
        </w:rPr>
        <w:t>市场主体名录库</w:t>
      </w:r>
    </w:p>
    <w:tbl>
      <w:tblPr>
        <w:tblStyle w:val="7"/>
        <w:tblW w:w="9481"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2734"/>
        <w:gridCol w:w="3354"/>
        <w:gridCol w:w="320"/>
        <w:gridCol w:w="166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9481" w:type="dxa"/>
            <w:gridSpan w:val="6"/>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黑体" w:hAnsi="黑体" w:eastAsia="黑体"/>
                <w:bCs/>
                <w:color w:val="000000"/>
                <w:kern w:val="0"/>
                <w:sz w:val="28"/>
                <w:szCs w:val="28"/>
                <w:shd w:val="clear" w:color="auto" w:fill="FFFFFF"/>
              </w:rPr>
              <w:t>律师事务所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0"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编号</w:t>
            </w:r>
          </w:p>
        </w:tc>
        <w:tc>
          <w:tcPr>
            <w:tcW w:w="2734"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机构名称</w:t>
            </w:r>
          </w:p>
        </w:tc>
        <w:tc>
          <w:tcPr>
            <w:tcW w:w="3674" w:type="dxa"/>
            <w:gridSpan w:val="2"/>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住所</w:t>
            </w:r>
          </w:p>
        </w:tc>
        <w:tc>
          <w:tcPr>
            <w:tcW w:w="1665"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联系电话</w:t>
            </w:r>
          </w:p>
        </w:tc>
        <w:tc>
          <w:tcPr>
            <w:tcW w:w="708"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河南凌峰律师事务所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黄河路豫光阳光苑1号楼</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0391-6695389</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2</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河南剑光律师事务所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汤帝街885号</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0391-6666968</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3</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河南艳阳天律师事务所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黄河路公安局西玉川绿城15号商住楼3楼</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0391-6699500</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4</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河南涛声律师事务所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西留村平安街3巷13号</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0391-6667676</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5</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河南九威律师事务所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汤帝南路</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0391-6669110</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6</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河南俊卿律师事务所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汤帝路与黄河路交叉口</w:t>
            </w:r>
          </w:p>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向北200米路东</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0391-6660509</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7</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河南愚公律师事务所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黄河路与汤帝路交叉口金秋花园1号商住楼A段</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0391-5503366</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8</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河南朗齐律师事务所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文昌中路88号</w:t>
            </w:r>
          </w:p>
        </w:tc>
        <w:tc>
          <w:tcPr>
            <w:tcW w:w="1665" w:type="dxa"/>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0391-5563857</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9</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河南明砥律师事务所</w:t>
            </w:r>
          </w:p>
        </w:tc>
        <w:tc>
          <w:tcPr>
            <w:tcW w:w="3674" w:type="dxa"/>
            <w:gridSpan w:val="2"/>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黄河路与王屋路交叉口泰宏天安广场104号</w:t>
            </w:r>
          </w:p>
        </w:tc>
        <w:tc>
          <w:tcPr>
            <w:tcW w:w="1665" w:type="dxa"/>
            <w:vAlign w:val="center"/>
          </w:tcPr>
          <w:p>
            <w:pPr>
              <w:spacing w:line="400" w:lineRule="exact"/>
              <w:jc w:val="center"/>
              <w:rPr>
                <w:rFonts w:ascii="仿宋" w:hAnsi="仿宋" w:eastAsia="仿宋" w:cs="仿宋"/>
                <w:color w:val="000000"/>
                <w:kern w:val="0"/>
                <w:sz w:val="24"/>
                <w:szCs w:val="24"/>
              </w:rPr>
            </w:pPr>
            <w:r>
              <w:rPr>
                <w:rFonts w:ascii="仿宋" w:hAnsi="仿宋" w:eastAsia="仿宋" w:cs="仿宋"/>
                <w:color w:val="000000"/>
                <w:kern w:val="0"/>
                <w:sz w:val="24"/>
                <w:szCs w:val="24"/>
              </w:rPr>
              <w:t>0391-5580009</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9481" w:type="dxa"/>
            <w:gridSpan w:val="6"/>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黑体" w:hAnsi="黑体" w:eastAsia="黑体"/>
                <w:bCs/>
                <w:color w:val="000000"/>
                <w:kern w:val="0"/>
                <w:sz w:val="28"/>
                <w:szCs w:val="28"/>
                <w:shd w:val="clear" w:color="auto" w:fill="FFFFFF"/>
              </w:rPr>
              <w:t>基层法律服务所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编号</w:t>
            </w:r>
          </w:p>
        </w:tc>
        <w:tc>
          <w:tcPr>
            <w:tcW w:w="2734"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机构名称</w:t>
            </w:r>
          </w:p>
        </w:tc>
        <w:tc>
          <w:tcPr>
            <w:tcW w:w="3674" w:type="dxa"/>
            <w:gridSpan w:val="2"/>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住所</w:t>
            </w:r>
          </w:p>
        </w:tc>
        <w:tc>
          <w:tcPr>
            <w:tcW w:w="1665"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联系电话</w:t>
            </w:r>
          </w:p>
        </w:tc>
        <w:tc>
          <w:tcPr>
            <w:tcW w:w="708"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济源市济水法律服务所</w:t>
            </w:r>
          </w:p>
        </w:tc>
        <w:tc>
          <w:tcPr>
            <w:tcW w:w="3674" w:type="dxa"/>
            <w:gridSpan w:val="2"/>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仿宋_GB2312"/>
                <w:color w:val="000000"/>
                <w:kern w:val="0"/>
                <w:sz w:val="24"/>
                <w:szCs w:val="24"/>
              </w:rPr>
              <w:t>汤帝路885号</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13653910678</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2</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济源市天平法律服务所</w:t>
            </w:r>
          </w:p>
        </w:tc>
        <w:tc>
          <w:tcPr>
            <w:tcW w:w="3674" w:type="dxa"/>
            <w:gridSpan w:val="2"/>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仿宋_GB2312"/>
                <w:color w:val="000000"/>
                <w:kern w:val="0"/>
                <w:sz w:val="24"/>
                <w:szCs w:val="24"/>
              </w:rPr>
              <w:t>汤帝路885号</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15839169333</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3</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济源市天坛法律服务所</w:t>
            </w:r>
          </w:p>
        </w:tc>
        <w:tc>
          <w:tcPr>
            <w:tcW w:w="3674" w:type="dxa"/>
            <w:gridSpan w:val="2"/>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仿宋_GB2312"/>
                <w:color w:val="000000"/>
                <w:kern w:val="0"/>
                <w:sz w:val="24"/>
                <w:szCs w:val="24"/>
              </w:rPr>
              <w:t>济源大道与汤帝路交叉路口</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13017506111</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4</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济源市沁园法律服务所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文昌路922号</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13007655545</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5</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济源市诚信法律服务所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北海大道段庄居委会办公楼一楼</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13298469797</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6</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济源市众智法律服务所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汤帝南路1218号办公楼二楼东</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18603896300</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7</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济源市正大法律服务所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克井镇克井村北辰路82号</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13569161920</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8</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济源市阳光法律服务所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汤帝路国泰花园门面房</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17329293898</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9</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济源市兴诚法律服务所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天坛路563号</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18939183100</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10</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济源市轵城法律服务所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spacing w:val="-6"/>
                <w:kern w:val="0"/>
                <w:sz w:val="24"/>
                <w:szCs w:val="24"/>
              </w:rPr>
              <w:t>文昌南路西轵城第三法庭门口</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13949699158</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11</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济源市方圆法律服务所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汤帝路市法院对面</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13938170448</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12</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济源市民生法律服务所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济水大街鸿运楼三楼</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13653911563</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济源市旭阳法律服务所</w:t>
            </w:r>
          </w:p>
        </w:tc>
        <w:tc>
          <w:tcPr>
            <w:tcW w:w="3674" w:type="dxa"/>
            <w:gridSpan w:val="2"/>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汤帝路885号</w:t>
            </w:r>
          </w:p>
        </w:tc>
        <w:tc>
          <w:tcPr>
            <w:tcW w:w="1665"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13507671343</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481" w:type="dxa"/>
            <w:gridSpan w:val="6"/>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黑体" w:hAnsi="黑体" w:eastAsia="黑体"/>
                <w:bCs/>
                <w:color w:val="000000"/>
                <w:kern w:val="0"/>
                <w:sz w:val="28"/>
                <w:szCs w:val="28"/>
                <w:shd w:val="clear" w:color="auto" w:fill="FFFFFF"/>
              </w:rPr>
              <w:t>公证机构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0"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编号</w:t>
            </w:r>
          </w:p>
        </w:tc>
        <w:tc>
          <w:tcPr>
            <w:tcW w:w="2734"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机构名称</w:t>
            </w:r>
          </w:p>
        </w:tc>
        <w:tc>
          <w:tcPr>
            <w:tcW w:w="3354"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住所</w:t>
            </w:r>
          </w:p>
        </w:tc>
        <w:tc>
          <w:tcPr>
            <w:tcW w:w="1985" w:type="dxa"/>
            <w:gridSpan w:val="2"/>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联系电话</w:t>
            </w:r>
          </w:p>
        </w:tc>
        <w:tc>
          <w:tcPr>
            <w:tcW w:w="708" w:type="dxa"/>
            <w:vAlign w:val="center"/>
          </w:tcPr>
          <w:p>
            <w:pPr>
              <w:spacing w:line="400" w:lineRule="exact"/>
              <w:jc w:val="center"/>
              <w:rPr>
                <w:rFonts w:ascii="华文仿宋" w:hAnsi="华文仿宋" w:eastAsia="华文仿宋" w:cs="华文仿宋"/>
                <w:b/>
                <w:color w:val="000000"/>
                <w:kern w:val="0"/>
                <w:sz w:val="24"/>
                <w:szCs w:val="24"/>
                <w:shd w:val="clear" w:color="auto" w:fill="FFFFFF"/>
              </w:rPr>
            </w:pPr>
            <w:r>
              <w:rPr>
                <w:rFonts w:hint="eastAsia" w:ascii="华文仿宋" w:hAnsi="华文仿宋" w:eastAsia="华文仿宋" w:cs="华文仿宋"/>
                <w:b/>
                <w:color w:val="000000"/>
                <w:kern w:val="0"/>
                <w:sz w:val="24"/>
                <w:szCs w:val="24"/>
                <w:shd w:val="clear" w:color="auto" w:fill="FFFFFF"/>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0"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1</w:t>
            </w:r>
          </w:p>
        </w:tc>
        <w:tc>
          <w:tcPr>
            <w:tcW w:w="273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济源市金天公证处</w:t>
            </w:r>
          </w:p>
        </w:tc>
        <w:tc>
          <w:tcPr>
            <w:tcW w:w="3354" w:type="dxa"/>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spacing w:val="-11"/>
                <w:kern w:val="0"/>
                <w:sz w:val="24"/>
                <w:szCs w:val="24"/>
                <w:shd w:val="clear" w:color="auto" w:fill="FFFFFF"/>
              </w:rPr>
              <w:t>中医院南公共法律服务中心</w:t>
            </w:r>
          </w:p>
        </w:tc>
        <w:tc>
          <w:tcPr>
            <w:tcW w:w="1985" w:type="dxa"/>
            <w:gridSpan w:val="2"/>
            <w:vAlign w:val="center"/>
          </w:tcPr>
          <w:p>
            <w:pPr>
              <w:spacing w:line="400" w:lineRule="exact"/>
              <w:jc w:val="center"/>
              <w:rPr>
                <w:rFonts w:ascii="仿宋" w:hAnsi="仿宋" w:eastAsia="仿宋" w:cs="华文仿宋"/>
                <w:color w:val="000000"/>
                <w:kern w:val="0"/>
                <w:sz w:val="24"/>
                <w:szCs w:val="24"/>
                <w:shd w:val="clear" w:color="auto" w:fill="FFFFFF"/>
              </w:rPr>
            </w:pPr>
            <w:r>
              <w:rPr>
                <w:rFonts w:hint="eastAsia" w:ascii="仿宋" w:hAnsi="仿宋" w:eastAsia="仿宋" w:cs="华文仿宋"/>
                <w:color w:val="000000"/>
                <w:kern w:val="0"/>
                <w:sz w:val="24"/>
                <w:szCs w:val="24"/>
                <w:shd w:val="clear" w:color="auto" w:fill="FFFFFF"/>
              </w:rPr>
              <w:t>0391-5578805</w:t>
            </w:r>
          </w:p>
        </w:tc>
        <w:tc>
          <w:tcPr>
            <w:tcW w:w="708" w:type="dxa"/>
            <w:vAlign w:val="center"/>
          </w:tcPr>
          <w:p>
            <w:pPr>
              <w:spacing w:line="400" w:lineRule="exact"/>
              <w:jc w:val="center"/>
              <w:rPr>
                <w:rFonts w:ascii="仿宋" w:hAnsi="仿宋" w:eastAsia="仿宋" w:cs="华文仿宋"/>
                <w:color w:val="000000"/>
                <w:kern w:val="0"/>
                <w:sz w:val="24"/>
                <w:szCs w:val="24"/>
                <w:shd w:val="clear" w:color="auto" w:fill="FFFFFF"/>
              </w:rPr>
            </w:pPr>
          </w:p>
        </w:tc>
      </w:tr>
    </w:tbl>
    <w:p>
      <w:pPr>
        <w:spacing w:line="500" w:lineRule="exact"/>
        <w:rPr>
          <w:rFonts w:ascii="华文仿宋" w:hAnsi="华文仿宋" w:eastAsia="华文仿宋" w:cs="华文仿宋"/>
          <w:b/>
          <w:color w:val="000000"/>
          <w:sz w:val="28"/>
          <w:szCs w:val="28"/>
          <w:shd w:val="clear" w:color="auto" w:fill="FFFFFF"/>
        </w:rPr>
      </w:pPr>
    </w:p>
    <w:p>
      <w:pPr>
        <w:spacing w:line="500" w:lineRule="exact"/>
        <w:jc w:val="left"/>
        <w:rPr>
          <w:rFonts w:ascii="华文仿宋" w:hAnsi="华文仿宋" w:eastAsia="华文仿宋" w:cs="华文仿宋"/>
          <w:b/>
          <w:color w:val="000000"/>
          <w:sz w:val="24"/>
          <w:szCs w:val="24"/>
          <w:shd w:val="clear" w:color="auto" w:fill="FFFFFF"/>
        </w:rPr>
      </w:pPr>
    </w:p>
    <w:p>
      <w:pPr>
        <w:spacing w:line="600" w:lineRule="exact"/>
        <w:rPr>
          <w:rFonts w:hint="default" w:ascii="宋体" w:hAnsi="宋体" w:eastAsia="黑体" w:cs="黑体"/>
          <w:sz w:val="30"/>
          <w:szCs w:val="30"/>
          <w:lang w:val="en-US" w:eastAsia="zh-CN"/>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宋体" w:hAnsi="宋体" w:eastAsia="黑体" w:cs="黑体"/>
          <w:sz w:val="30"/>
          <w:szCs w:val="30"/>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大标宋简体" w:hAnsi="方正大标宋简体" w:eastAsia="方正大标宋简体" w:cs="方正大标宋简体"/>
          <w:bCs/>
          <w:color w:val="000000"/>
          <w:sz w:val="44"/>
          <w:szCs w:val="44"/>
          <w:shd w:val="clear" w:color="auto" w:fill="FFFFFF"/>
        </w:rPr>
      </w:pPr>
      <w:r>
        <w:rPr>
          <w:rFonts w:hint="eastAsia" w:ascii="方正大标宋简体" w:hAnsi="方正大标宋简体" w:eastAsia="方正大标宋简体" w:cs="方正大标宋简体"/>
          <w:bCs/>
          <w:color w:val="000000"/>
          <w:sz w:val="44"/>
          <w:szCs w:val="44"/>
          <w:shd w:val="clear" w:color="auto" w:fill="FFFFFF"/>
          <w:lang w:eastAsia="zh-CN"/>
        </w:rPr>
        <w:t>济源市司法局</w:t>
      </w:r>
      <w:r>
        <w:rPr>
          <w:rFonts w:hint="eastAsia" w:ascii="方正大标宋简体" w:hAnsi="方正大标宋简体" w:eastAsia="方正大标宋简体" w:cs="方正大标宋简体"/>
          <w:bCs/>
          <w:color w:val="000000"/>
          <w:sz w:val="44"/>
          <w:szCs w:val="44"/>
          <w:shd w:val="clear" w:color="auto" w:fill="FFFFFF"/>
        </w:rPr>
        <w:t>行政执法人员名录库</w:t>
      </w:r>
    </w:p>
    <w:tbl>
      <w:tblPr>
        <w:tblStyle w:val="7"/>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0"/>
        <w:gridCol w:w="2464"/>
        <w:gridCol w:w="3130"/>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ascii="黑体" w:hAnsi="黑体" w:eastAsia="黑体"/>
                <w:bCs/>
                <w:color w:val="000000"/>
                <w:kern w:val="0"/>
                <w:sz w:val="28"/>
                <w:szCs w:val="28"/>
                <w:shd w:val="clear" w:color="auto" w:fill="FFFFFF"/>
              </w:rPr>
            </w:pPr>
            <w:r>
              <w:rPr>
                <w:rFonts w:hint="eastAsia" w:ascii="黑体" w:hAnsi="黑体" w:eastAsia="黑体"/>
                <w:bCs/>
                <w:color w:val="000000"/>
                <w:kern w:val="0"/>
                <w:sz w:val="28"/>
                <w:szCs w:val="28"/>
                <w:shd w:val="clear" w:color="auto" w:fill="FFFFFF"/>
              </w:rPr>
              <w:t>编号</w:t>
            </w:r>
          </w:p>
        </w:tc>
        <w:tc>
          <w:tcPr>
            <w:tcW w:w="2464" w:type="dxa"/>
          </w:tcPr>
          <w:p>
            <w:pPr>
              <w:jc w:val="center"/>
              <w:rPr>
                <w:rFonts w:ascii="黑体" w:hAnsi="黑体" w:eastAsia="黑体"/>
                <w:bCs/>
                <w:color w:val="000000"/>
                <w:kern w:val="0"/>
                <w:sz w:val="28"/>
                <w:szCs w:val="28"/>
                <w:shd w:val="clear" w:color="auto" w:fill="FFFFFF"/>
              </w:rPr>
            </w:pPr>
            <w:r>
              <w:rPr>
                <w:rFonts w:hint="eastAsia" w:ascii="黑体" w:hAnsi="黑体" w:eastAsia="黑体"/>
                <w:bCs/>
                <w:color w:val="000000"/>
                <w:kern w:val="0"/>
                <w:sz w:val="28"/>
                <w:szCs w:val="28"/>
                <w:shd w:val="clear" w:color="auto" w:fill="FFFFFF"/>
              </w:rPr>
              <w:t>姓名</w:t>
            </w:r>
          </w:p>
        </w:tc>
        <w:tc>
          <w:tcPr>
            <w:tcW w:w="3130" w:type="dxa"/>
          </w:tcPr>
          <w:p>
            <w:pPr>
              <w:jc w:val="center"/>
              <w:rPr>
                <w:rFonts w:ascii="黑体" w:hAnsi="黑体" w:eastAsia="黑体"/>
                <w:bCs/>
                <w:color w:val="000000"/>
                <w:kern w:val="0"/>
                <w:sz w:val="28"/>
                <w:szCs w:val="28"/>
                <w:shd w:val="clear" w:color="auto" w:fill="FFFFFF"/>
              </w:rPr>
            </w:pPr>
            <w:r>
              <w:rPr>
                <w:rFonts w:hint="eastAsia" w:ascii="黑体" w:hAnsi="黑体" w:eastAsia="黑体"/>
                <w:bCs/>
                <w:color w:val="000000"/>
                <w:kern w:val="0"/>
                <w:sz w:val="28"/>
                <w:szCs w:val="28"/>
                <w:shd w:val="clear" w:color="auto" w:fill="FFFFFF"/>
              </w:rPr>
              <w:t>工作单位</w:t>
            </w:r>
          </w:p>
        </w:tc>
        <w:tc>
          <w:tcPr>
            <w:tcW w:w="2316" w:type="dxa"/>
          </w:tcPr>
          <w:p>
            <w:pPr>
              <w:jc w:val="center"/>
              <w:rPr>
                <w:rFonts w:ascii="黑体" w:hAnsi="黑体" w:eastAsia="黑体"/>
                <w:bCs/>
                <w:color w:val="000000"/>
                <w:kern w:val="0"/>
                <w:sz w:val="28"/>
                <w:szCs w:val="28"/>
                <w:shd w:val="clear" w:color="auto" w:fill="FFFFFF"/>
              </w:rPr>
            </w:pPr>
            <w:r>
              <w:rPr>
                <w:rFonts w:hint="eastAsia" w:ascii="黑体" w:hAnsi="黑体" w:eastAsia="黑体"/>
                <w:bCs/>
                <w:color w:val="000000"/>
                <w:kern w:val="0"/>
                <w:sz w:val="28"/>
                <w:szCs w:val="28"/>
                <w:shd w:val="clear" w:color="auto" w:fill="FFFFFF"/>
              </w:rPr>
              <w:t>执法证号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1</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任德成</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豫U-104501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2</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李兴武</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豫U-175658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3</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陈立五</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豫U-853330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4</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赵守辰</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豫U-628332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5</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陈赛利</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豫U-528808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6</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姚建忠</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豫U-891350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7</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麦翠平</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豫U-623992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8</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程志强</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 xml:space="preserve">豫U-861033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9</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成冬佩</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豫U-829766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10</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孙利霞</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豫U-252636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11</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陈  卫</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豫U-252823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12</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郭  军</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豫U-550500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赵四化</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豫U-393521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14</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阳会兵</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豫U-900291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15</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张  燕</w:t>
            </w:r>
          </w:p>
        </w:tc>
        <w:tc>
          <w:tcPr>
            <w:tcW w:w="3130" w:type="dxa"/>
          </w:tcPr>
          <w:p>
            <w:pPr>
              <w:jc w:val="center"/>
              <w:rPr>
                <w:rFonts w:ascii="仿宋" w:hAnsi="仿宋" w:eastAsia="仿宋" w:cs="仿宋"/>
                <w:color w:val="000000"/>
                <w:kern w:val="0"/>
                <w:sz w:val="20"/>
                <w:szCs w:val="20"/>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豫U-785677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16</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杨  帆</w:t>
            </w:r>
          </w:p>
        </w:tc>
        <w:tc>
          <w:tcPr>
            <w:tcW w:w="3130"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豫U-766562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17</w:t>
            </w:r>
          </w:p>
        </w:tc>
        <w:tc>
          <w:tcPr>
            <w:tcW w:w="2464"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周观玺</w:t>
            </w:r>
          </w:p>
        </w:tc>
        <w:tc>
          <w:tcPr>
            <w:tcW w:w="3130"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豫U-252777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0" w:type="dxa"/>
          </w:tcPr>
          <w:p>
            <w:pPr>
              <w:jc w:val="center"/>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18</w:t>
            </w:r>
          </w:p>
        </w:tc>
        <w:tc>
          <w:tcPr>
            <w:tcW w:w="2464" w:type="dxa"/>
          </w:tcPr>
          <w:p>
            <w:pPr>
              <w:jc w:val="center"/>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连欢</w:t>
            </w:r>
            <w:r>
              <w:rPr>
                <w:rFonts w:hint="eastAsia" w:ascii="仿宋" w:hAnsi="仿宋" w:eastAsia="仿宋" w:cs="仿宋"/>
                <w:color w:val="000000"/>
                <w:kern w:val="0"/>
                <w:sz w:val="28"/>
                <w:szCs w:val="28"/>
                <w:shd w:val="clear" w:color="auto" w:fill="FFFFFF"/>
                <w:lang w:val="en-US" w:eastAsia="zh-CN"/>
              </w:rPr>
              <w:t>欢</w:t>
            </w:r>
          </w:p>
        </w:tc>
        <w:tc>
          <w:tcPr>
            <w:tcW w:w="3130" w:type="dxa"/>
          </w:tcPr>
          <w:p>
            <w:pPr>
              <w:jc w:val="center"/>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司法局</w:t>
            </w:r>
          </w:p>
        </w:tc>
        <w:tc>
          <w:tcPr>
            <w:tcW w:w="2316" w:type="dxa"/>
          </w:tcPr>
          <w:p>
            <w:pPr>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豫U-772888</w:t>
            </w:r>
          </w:p>
        </w:tc>
      </w:tr>
    </w:tbl>
    <w:p>
      <w:pPr>
        <w:rPr>
          <w:rFonts w:hint="default" w:ascii="宋体" w:hAnsi="宋体" w:eastAsia="黑体" w:cs="黑体"/>
          <w:sz w:val="30"/>
          <w:szCs w:val="30"/>
          <w:lang w:val="en-US" w:eastAsia="zh-CN"/>
        </w:rPr>
        <w:sectPr>
          <w:footerReference r:id="rId3" w:type="default"/>
          <w:pgSz w:w="11906" w:h="16838"/>
          <w:pgMar w:top="1701" w:right="1587" w:bottom="1587" w:left="1587" w:header="851" w:footer="1304" w:gutter="0"/>
          <w:pgNumType w:fmt="decimal"/>
          <w:cols w:space="0"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济源市司法局</w:t>
      </w:r>
      <w:r>
        <w:rPr>
          <w:rFonts w:hint="eastAsia" w:ascii="黑体" w:hAnsi="黑体" w:eastAsia="黑体"/>
          <w:color w:val="000000" w:themeColor="text1"/>
          <w:sz w:val="44"/>
          <w:szCs w:val="44"/>
          <w:lang w:eastAsia="zh-CN"/>
          <w14:textFill>
            <w14:solidFill>
              <w14:schemeClr w14:val="tx1"/>
            </w14:solidFill>
          </w14:textFill>
        </w:rPr>
        <w:t>“双随机一公开”</w:t>
      </w:r>
      <w:r>
        <w:rPr>
          <w:rFonts w:hint="eastAsia" w:ascii="黑体" w:hAnsi="黑体" w:eastAsia="黑体"/>
          <w:color w:val="000000" w:themeColor="text1"/>
          <w:sz w:val="44"/>
          <w:szCs w:val="44"/>
          <w14:textFill>
            <w14:solidFill>
              <w14:schemeClr w14:val="tx1"/>
            </w14:solidFill>
          </w14:textFill>
        </w:rPr>
        <w:t>抽查事项清单</w:t>
      </w:r>
    </w:p>
    <w:tbl>
      <w:tblPr>
        <w:tblStyle w:val="8"/>
        <w:tblW w:w="13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992"/>
        <w:gridCol w:w="4252"/>
        <w:gridCol w:w="1099"/>
        <w:gridCol w:w="997"/>
        <w:gridCol w:w="698"/>
        <w:gridCol w:w="709"/>
        <w:gridCol w:w="46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992"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抽查事项名称</w:t>
            </w:r>
          </w:p>
        </w:tc>
        <w:tc>
          <w:tcPr>
            <w:tcW w:w="4252"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抽查依据</w:t>
            </w:r>
          </w:p>
        </w:tc>
        <w:tc>
          <w:tcPr>
            <w:tcW w:w="1099"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主体</w:t>
            </w:r>
          </w:p>
        </w:tc>
        <w:tc>
          <w:tcPr>
            <w:tcW w:w="99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对象</w:t>
            </w:r>
          </w:p>
        </w:tc>
        <w:tc>
          <w:tcPr>
            <w:tcW w:w="698"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比例</w:t>
            </w:r>
          </w:p>
        </w:tc>
        <w:tc>
          <w:tcPr>
            <w:tcW w:w="709"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方式</w:t>
            </w:r>
          </w:p>
        </w:tc>
        <w:tc>
          <w:tcPr>
            <w:tcW w:w="4681"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1" w:hRule="atLeast"/>
        </w:trPr>
        <w:tc>
          <w:tcPr>
            <w:tcW w:w="534" w:type="dxa"/>
            <w:vAlign w:val="center"/>
          </w:tcPr>
          <w:p>
            <w:pPr>
              <w:spacing w:line="3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992" w:type="dxa"/>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对律师事务所及其负责人的检查</w:t>
            </w:r>
          </w:p>
        </w:tc>
        <w:tc>
          <w:tcPr>
            <w:tcW w:w="4252" w:type="dxa"/>
            <w:vAlign w:val="center"/>
          </w:tcPr>
          <w:p>
            <w:pPr>
              <w:pStyle w:val="27"/>
              <w:spacing w:line="3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    </w:t>
            </w:r>
            <w:r>
              <w:rPr>
                <w:rFonts w:hint="eastAsia" w:ascii="仿宋" w:hAnsi="仿宋" w:eastAsia="仿宋" w:cs="仿宋"/>
                <w:bCs/>
                <w:color w:val="000000" w:themeColor="text1"/>
                <w:lang w:eastAsia="zh-CN"/>
                <w14:textFill>
                  <w14:solidFill>
                    <w14:schemeClr w14:val="tx1"/>
                  </w14:solidFill>
                </w14:textFill>
              </w:rPr>
              <w:t>《</w:t>
            </w:r>
            <w:r>
              <w:rPr>
                <w:rFonts w:hint="eastAsia" w:ascii="仿宋" w:hAnsi="仿宋" w:eastAsia="仿宋" w:cs="仿宋"/>
                <w:bCs/>
                <w:color w:val="000000" w:themeColor="text1"/>
                <w14:textFill>
                  <w14:solidFill>
                    <w14:schemeClr w14:val="tx1"/>
                  </w14:solidFill>
                </w14:textFill>
              </w:rPr>
              <w:t>律师事务所管理办法</w:t>
            </w:r>
            <w:r>
              <w:rPr>
                <w:rFonts w:hint="eastAsia" w:ascii="仿宋" w:hAnsi="仿宋" w:eastAsia="仿宋" w:cs="仿宋"/>
                <w:bCs/>
                <w:color w:val="000000" w:themeColor="text1"/>
                <w:lang w:eastAsia="zh-CN"/>
                <w14:textFill>
                  <w14:solidFill>
                    <w14:schemeClr w14:val="tx1"/>
                  </w14:solidFill>
                </w14:textFill>
              </w:rPr>
              <w:t>》</w:t>
            </w:r>
            <w:r>
              <w:rPr>
                <w:rFonts w:hint="eastAsia" w:ascii="仿宋" w:hAnsi="仿宋" w:eastAsia="仿宋" w:cs="仿宋"/>
                <w:bCs/>
                <w:color w:val="000000" w:themeColor="text1"/>
                <w14:textFill>
                  <w14:solidFill>
                    <w14:schemeClr w14:val="tx1"/>
                  </w14:solidFill>
                </w14:textFill>
              </w:rPr>
              <w:t>第五条</w:t>
            </w:r>
            <w:r>
              <w:rPr>
                <w:rFonts w:hint="eastAsia" w:ascii="仿宋" w:hAnsi="仿宋" w:eastAsia="仿宋" w:cs="仿宋"/>
                <w:color w:val="000000" w:themeColor="text1"/>
                <w14:textFill>
                  <w14:solidFill>
                    <w14:schemeClr w14:val="tx1"/>
                  </w14:solidFill>
                </w14:textFill>
              </w:rPr>
              <w:t>：司法行政机关依照《律师法》和本办法的规定对律师事务所进行监督、指导。</w:t>
            </w:r>
          </w:p>
          <w:p>
            <w:pPr>
              <w:pStyle w:val="27"/>
              <w:spacing w:line="3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《中</w:t>
            </w:r>
            <w:r>
              <w:rPr>
                <w:rFonts w:hint="eastAsia" w:ascii="仿宋" w:hAnsi="仿宋" w:eastAsia="仿宋" w:cs="仿宋"/>
                <w:color w:val="000000" w:themeColor="text1"/>
                <w:lang w:eastAsia="zh-CN"/>
                <w14:textFill>
                  <w14:solidFill>
                    <w14:schemeClr w14:val="tx1"/>
                  </w14:solidFill>
                </w14:textFill>
              </w:rPr>
              <w:t>华</w:t>
            </w:r>
            <w:r>
              <w:rPr>
                <w:rFonts w:hint="eastAsia" w:ascii="仿宋" w:hAnsi="仿宋" w:eastAsia="仿宋" w:cs="仿宋"/>
                <w:color w:val="000000" w:themeColor="text1"/>
                <w14:textFill>
                  <w14:solidFill>
                    <w14:schemeClr w14:val="tx1"/>
                  </w14:solidFill>
                </w14:textFill>
              </w:rPr>
              <w:t xml:space="preserve">人民共和国律师法》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                       </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 xml:space="preserve">    律师事务所因前款违法行为受到处罚的，对其负责人视情节轻重，给予警告或者处二万元以下的罚款。</w:t>
            </w:r>
          </w:p>
          <w:p>
            <w:pPr>
              <w:pStyle w:val="27"/>
              <w:spacing w:line="300" w:lineRule="exact"/>
              <w:ind w:firstLine="420" w:firstLineChars="200"/>
              <w:rPr>
                <w:rFonts w:asciiTheme="minorEastAsia" w:hAnsiTheme="minorEastAsia" w:eastAsiaTheme="minorEastAsia"/>
                <w:color w:val="000000" w:themeColor="text1"/>
                <w:sz w:val="15"/>
                <w:szCs w:val="15"/>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中华人民共和国律师法》第五十一条：律师事务所因违反本法规定，在受到停业整顿处罚期满后二年内又发生应当给予停业整顿处罚情形的，由省、自治区、直辖市人民政府司法行政部门吊销律师事务所执业证书。</w:t>
            </w:r>
          </w:p>
        </w:tc>
        <w:tc>
          <w:tcPr>
            <w:tcW w:w="1099" w:type="dxa"/>
            <w:vAlign w:val="center"/>
          </w:tcPr>
          <w:p>
            <w:pPr>
              <w:pStyle w:val="27"/>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市司法局</w:t>
            </w:r>
          </w:p>
        </w:tc>
        <w:tc>
          <w:tcPr>
            <w:tcW w:w="997" w:type="dxa"/>
            <w:vAlign w:val="center"/>
          </w:tcPr>
          <w:p>
            <w:pPr>
              <w:pStyle w:val="27"/>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律师</w:t>
            </w:r>
          </w:p>
          <w:p>
            <w:pPr>
              <w:pStyle w:val="27"/>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事务所</w:t>
            </w:r>
          </w:p>
        </w:tc>
        <w:tc>
          <w:tcPr>
            <w:tcW w:w="698" w:type="dxa"/>
            <w:vAlign w:val="center"/>
          </w:tcPr>
          <w:p>
            <w:pPr>
              <w:pStyle w:val="27"/>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w:t>
            </w:r>
          </w:p>
        </w:tc>
        <w:tc>
          <w:tcPr>
            <w:tcW w:w="709" w:type="dxa"/>
            <w:vAlign w:val="center"/>
          </w:tcPr>
          <w:p>
            <w:pPr>
              <w:pStyle w:val="27"/>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现场</w:t>
            </w:r>
          </w:p>
          <w:p>
            <w:pPr>
              <w:pStyle w:val="27"/>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检查</w:t>
            </w:r>
          </w:p>
        </w:tc>
        <w:tc>
          <w:tcPr>
            <w:tcW w:w="4681" w:type="dxa"/>
            <w:vAlign w:val="center"/>
          </w:tcPr>
          <w:p>
            <w:pPr>
              <w:pStyle w:val="2"/>
              <w:spacing w:line="300" w:lineRule="exact"/>
              <w:rPr>
                <w:rFonts w:cs="Times New Roman" w:asciiTheme="minorEastAsia" w:hAnsiTheme="minorEastAsia" w:eastAsiaTheme="minorEastAsia"/>
                <w:color w:val="000000" w:themeColor="text1"/>
                <w:szCs w:val="15"/>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是否违反规定接受委托</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收取费用；是否违反法定程序办理变更名称等重大事项；是否从事法律服务以外的经营活动；是否以诋毁其他律师事务所和律师或者支付介绍费等不正当手段承揽业务；是否违反规定接受有利益冲突的案件；是否拒绝履行法律援助义务；是否向司法行政部门提供虚假材料或者有其他弄虚作假行为；是否对本所律师疏于管理造成严重后果。有无在受到停业整顿处罚期满后二年内又发生应当给予停业整顿处罚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992"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抽查事项名称</w:t>
            </w:r>
          </w:p>
        </w:tc>
        <w:tc>
          <w:tcPr>
            <w:tcW w:w="4252"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抽查依据</w:t>
            </w:r>
          </w:p>
        </w:tc>
        <w:tc>
          <w:tcPr>
            <w:tcW w:w="1099"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主体</w:t>
            </w:r>
          </w:p>
        </w:tc>
        <w:tc>
          <w:tcPr>
            <w:tcW w:w="99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对象</w:t>
            </w:r>
          </w:p>
        </w:tc>
        <w:tc>
          <w:tcPr>
            <w:tcW w:w="698"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比例</w:t>
            </w:r>
          </w:p>
        </w:tc>
        <w:tc>
          <w:tcPr>
            <w:tcW w:w="709"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方式</w:t>
            </w:r>
          </w:p>
        </w:tc>
        <w:tc>
          <w:tcPr>
            <w:tcW w:w="4681"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6" w:hRule="atLeast"/>
        </w:trPr>
        <w:tc>
          <w:tcPr>
            <w:tcW w:w="534" w:type="dxa"/>
            <w:vMerge w:val="restart"/>
            <w:vAlign w:val="center"/>
          </w:tcPr>
          <w:p>
            <w:pPr>
              <w:spacing w:line="3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992" w:type="dxa"/>
            <w:vMerge w:val="restart"/>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对律师执业的检查</w:t>
            </w:r>
          </w:p>
        </w:tc>
        <w:tc>
          <w:tcPr>
            <w:tcW w:w="4252" w:type="dxa"/>
            <w:tcBorders>
              <w:bottom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中华人民共和国律师法》第四十七条：律师有下列行为之一的，由设区的市级或者直辖市的区人民政府司法行政部门给予警告，可以处五千元以下的罚款；有违法所得的，没收违法所得；情节严重的，给予停止执业三个月以下的处罚。</w:t>
            </w:r>
          </w:p>
        </w:tc>
        <w:tc>
          <w:tcPr>
            <w:tcW w:w="1099" w:type="dxa"/>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997" w:type="dxa"/>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事务所</w:t>
            </w:r>
          </w:p>
        </w:tc>
        <w:tc>
          <w:tcPr>
            <w:tcW w:w="698" w:type="dxa"/>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681" w:type="dxa"/>
            <w:tcBorders>
              <w:bottom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是否同时在两个以上律师事务所执业；是否以不正当手段承揽业务；是否在同一案件中为双方当事人担任代理人，或者代理与本人及其近亲属有利益冲突的法律事务；从人民法院、人民检察院离任后二年内有无担任诉讼代理人或者辩护人；是否拒绝履行法律援助义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9" w:hRule="atLeast"/>
        </w:trPr>
        <w:tc>
          <w:tcPr>
            <w:tcW w:w="534" w:type="dxa"/>
            <w:vMerge w:val="continue"/>
            <w:vAlign w:val="center"/>
          </w:tcPr>
          <w:p>
            <w:pPr>
              <w:spacing w:line="300" w:lineRule="exact"/>
              <w:rPr>
                <w:color w:val="000000" w:themeColor="text1"/>
                <w14:textFill>
                  <w14:solidFill>
                    <w14:schemeClr w14:val="tx1"/>
                  </w14:solidFill>
                </w14:textFill>
              </w:rPr>
            </w:pPr>
          </w:p>
        </w:tc>
        <w:tc>
          <w:tcPr>
            <w:tcW w:w="992" w:type="dxa"/>
            <w:vMerge w:val="continue"/>
            <w:vAlign w:val="center"/>
          </w:tcPr>
          <w:p>
            <w:pPr>
              <w:spacing w:line="300" w:lineRule="exact"/>
              <w:rPr>
                <w:color w:val="000000" w:themeColor="text1"/>
                <w14:textFill>
                  <w14:solidFill>
                    <w14:schemeClr w14:val="tx1"/>
                  </w14:solidFill>
                </w14:textFill>
              </w:rPr>
            </w:pPr>
          </w:p>
        </w:tc>
        <w:tc>
          <w:tcPr>
            <w:tcW w:w="4252" w:type="dxa"/>
            <w:tcBorders>
              <w:top w:val="single" w:color="auto" w:sz="4" w:space="0"/>
              <w:bottom w:val="single" w:color="auto" w:sz="4" w:space="0"/>
            </w:tcBorders>
            <w:vAlign w:val="center"/>
          </w:tcPr>
          <w:p>
            <w:pPr>
              <w:pStyle w:val="27"/>
              <w:spacing w:line="300" w:lineRule="exact"/>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中华人民共和国律师法》第四十八条：律师有下列行为之一的，由设区的市级或者直辖市的区人民政府司法行政部门给予警告，可以处一万元以下的罚款；有违法所得的，没收违法所得；情节严重的，给予停止执业三个月以上六个月以下的处罚</w:t>
            </w:r>
            <w:r>
              <w:rPr>
                <w:rFonts w:hint="eastAsia" w:ascii="仿宋" w:hAnsi="仿宋" w:eastAsia="仿宋"/>
                <w:color w:val="000000" w:themeColor="text1"/>
                <w:lang w:eastAsia="zh-CN"/>
                <w14:textFill>
                  <w14:solidFill>
                    <w14:schemeClr w14:val="tx1"/>
                  </w14:solidFill>
                </w14:textFill>
              </w:rPr>
              <w:t>。</w:t>
            </w:r>
          </w:p>
        </w:tc>
        <w:tc>
          <w:tcPr>
            <w:tcW w:w="1099" w:type="dxa"/>
            <w:tcBorders>
              <w:top w:val="single" w:color="auto" w:sz="4" w:space="0"/>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997" w:type="dxa"/>
            <w:tcBorders>
              <w:top w:val="single" w:color="auto" w:sz="4" w:space="0"/>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事务所</w:t>
            </w:r>
          </w:p>
        </w:tc>
        <w:tc>
          <w:tcPr>
            <w:tcW w:w="698" w:type="dxa"/>
            <w:tcBorders>
              <w:top w:val="single" w:color="auto" w:sz="4" w:space="0"/>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tcBorders>
              <w:top w:val="single" w:color="auto" w:sz="4" w:space="0"/>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681" w:type="dxa"/>
            <w:tcBorders>
              <w:top w:val="single" w:color="auto" w:sz="4" w:space="0"/>
              <w:bottom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是否私自接受委托、收取费用，接受委托人财物或者其他利益；接受委托后，无正当理由，是否拒绝辩护或者代理，不按时出庭参加诉讼或者仲裁；是否利用提供法律服务的便利牟取当事人争议的权益；是否泄露商业秘密或者个人隐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1" w:hRule="atLeast"/>
        </w:trPr>
        <w:tc>
          <w:tcPr>
            <w:tcW w:w="534" w:type="dxa"/>
            <w:vMerge w:val="continue"/>
            <w:vAlign w:val="center"/>
          </w:tcPr>
          <w:p>
            <w:pPr>
              <w:spacing w:line="300" w:lineRule="exact"/>
              <w:rPr>
                <w:color w:val="000000" w:themeColor="text1"/>
                <w14:textFill>
                  <w14:solidFill>
                    <w14:schemeClr w14:val="tx1"/>
                  </w14:solidFill>
                </w14:textFill>
              </w:rPr>
            </w:pPr>
          </w:p>
        </w:tc>
        <w:tc>
          <w:tcPr>
            <w:tcW w:w="992" w:type="dxa"/>
            <w:vMerge w:val="continue"/>
            <w:vAlign w:val="center"/>
          </w:tcPr>
          <w:p>
            <w:pPr>
              <w:spacing w:line="300" w:lineRule="exact"/>
              <w:rPr>
                <w:color w:val="000000" w:themeColor="text1"/>
                <w14:textFill>
                  <w14:solidFill>
                    <w14:schemeClr w14:val="tx1"/>
                  </w14:solidFill>
                </w14:textFill>
              </w:rPr>
            </w:pPr>
          </w:p>
        </w:tc>
        <w:tc>
          <w:tcPr>
            <w:tcW w:w="4252" w:type="dxa"/>
            <w:tcBorders>
              <w:top w:val="single" w:color="auto" w:sz="4" w:space="0"/>
            </w:tcBorders>
            <w:vAlign w:val="center"/>
          </w:tcPr>
          <w:p>
            <w:pPr>
              <w:pStyle w:val="27"/>
              <w:spacing w:line="300" w:lineRule="exac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律援助条例》第二十八条：律师有下列情形之一的，由司法行政部门给予警告、责令改正；情节严重的，给予１个月以上３个月以下停止执业的处罚：（一）无正当理由拒绝接受、擅自终止法律援助案件的；（二）办理法律援助案件收取财物的。</w:t>
            </w:r>
          </w:p>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有前款第（二）项违法行为的，由司法行政部门责令退还违法所得的财物，可以并处所收财物价值１倍以上３倍以下的罚款。</w:t>
            </w:r>
          </w:p>
        </w:tc>
        <w:tc>
          <w:tcPr>
            <w:tcW w:w="1099" w:type="dxa"/>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997" w:type="dxa"/>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事务所</w:t>
            </w:r>
          </w:p>
        </w:tc>
        <w:tc>
          <w:tcPr>
            <w:tcW w:w="698" w:type="dxa"/>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681" w:type="dxa"/>
            <w:tcBorders>
              <w:top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是否无正当理由拒绝接受、擅自终止法律援助案件；办理法律援助案件是否收取财物。</w:t>
            </w:r>
          </w:p>
        </w:tc>
      </w:tr>
    </w:tbl>
    <w:p>
      <w:pPr>
        <w:spacing w:line="300" w:lineRule="exact"/>
        <w:rPr>
          <w:color w:val="000000" w:themeColor="text1"/>
          <w14:textFill>
            <w14:solidFill>
              <w14:schemeClr w14:val="tx1"/>
            </w14:solidFill>
          </w14:textFill>
        </w:rPr>
      </w:pPr>
    </w:p>
    <w:tbl>
      <w:tblPr>
        <w:tblStyle w:val="8"/>
        <w:tblW w:w="137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7"/>
        <w:gridCol w:w="248"/>
        <w:gridCol w:w="709"/>
        <w:gridCol w:w="284"/>
        <w:gridCol w:w="1842"/>
        <w:gridCol w:w="1134"/>
        <w:gridCol w:w="993"/>
        <w:gridCol w:w="141"/>
        <w:gridCol w:w="142"/>
        <w:gridCol w:w="567"/>
        <w:gridCol w:w="360"/>
        <w:gridCol w:w="160"/>
        <w:gridCol w:w="330"/>
        <w:gridCol w:w="537"/>
        <w:gridCol w:w="76"/>
        <w:gridCol w:w="622"/>
        <w:gridCol w:w="203"/>
        <w:gridCol w:w="506"/>
        <w:gridCol w:w="203"/>
        <w:gridCol w:w="4001"/>
        <w:gridCol w:w="11"/>
        <w:gridCol w:w="2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227" w:type="dxa"/>
        </w:trPr>
        <w:tc>
          <w:tcPr>
            <w:tcW w:w="42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957"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抽查事项名称</w:t>
            </w:r>
          </w:p>
        </w:tc>
        <w:tc>
          <w:tcPr>
            <w:tcW w:w="4536" w:type="dxa"/>
            <w:gridSpan w:val="6"/>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抽查依据</w:t>
            </w:r>
          </w:p>
        </w:tc>
        <w:tc>
          <w:tcPr>
            <w:tcW w:w="1087"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主体</w:t>
            </w:r>
          </w:p>
        </w:tc>
        <w:tc>
          <w:tcPr>
            <w:tcW w:w="943"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对象</w:t>
            </w:r>
          </w:p>
        </w:tc>
        <w:tc>
          <w:tcPr>
            <w:tcW w:w="825"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比例</w:t>
            </w:r>
          </w:p>
        </w:tc>
        <w:tc>
          <w:tcPr>
            <w:tcW w:w="709"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方式</w:t>
            </w:r>
          </w:p>
        </w:tc>
        <w:tc>
          <w:tcPr>
            <w:tcW w:w="4001"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227" w:type="dxa"/>
          <w:trHeight w:val="5290" w:hRule="atLeast"/>
        </w:trPr>
        <w:tc>
          <w:tcPr>
            <w:tcW w:w="427" w:type="dxa"/>
            <w:vMerge w:val="restart"/>
          </w:tcPr>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tc>
        <w:tc>
          <w:tcPr>
            <w:tcW w:w="957" w:type="dxa"/>
            <w:gridSpan w:val="2"/>
            <w:vMerge w:val="restart"/>
            <w:vAlign w:val="center"/>
          </w:tcPr>
          <w:p>
            <w:pPr>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对律师执业的检查</w:t>
            </w:r>
          </w:p>
        </w:tc>
        <w:tc>
          <w:tcPr>
            <w:tcW w:w="4536" w:type="dxa"/>
            <w:gridSpan w:val="6"/>
            <w:tcBorders>
              <w:bottom w:val="single" w:color="auto" w:sz="4" w:space="0"/>
            </w:tcBorders>
            <w:vAlign w:val="center"/>
          </w:tcPr>
          <w:p>
            <w:pPr>
              <w:pStyle w:val="27"/>
              <w:spacing w:line="300" w:lineRule="exact"/>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中华人民共和国律师法》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r>
              <w:rPr>
                <w:rFonts w:hint="eastAsia" w:ascii="仿宋" w:hAnsi="仿宋" w:eastAsia="仿宋"/>
                <w:color w:val="000000" w:themeColor="text1"/>
                <w:lang w:eastAsia="zh-CN"/>
                <w14:textFill>
                  <w14:solidFill>
                    <w14:schemeClr w14:val="tx1"/>
                  </w14:solidFill>
                </w14:textFill>
              </w:rPr>
              <w:t>。</w:t>
            </w:r>
          </w:p>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律师因故意犯罪受到刑事处罚的，由省、自治区、直辖市人民政府司法行政部门吊销其律师执业证书。</w:t>
            </w:r>
          </w:p>
        </w:tc>
        <w:tc>
          <w:tcPr>
            <w:tcW w:w="1087" w:type="dxa"/>
            <w:gridSpan w:val="3"/>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943" w:type="dxa"/>
            <w:gridSpan w:val="3"/>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事务所</w:t>
            </w:r>
          </w:p>
        </w:tc>
        <w:tc>
          <w:tcPr>
            <w:tcW w:w="825" w:type="dxa"/>
            <w:gridSpan w:val="2"/>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gridSpan w:val="2"/>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001" w:type="dxa"/>
            <w:tcBorders>
              <w:bottom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是否违反规定会见法官、检察官、仲裁员以及其他有关工作人员，或者以其他不正当方式影响依法办理案件；是否向法官、检察官、仲裁员以及其他有关工作人员行贿，介绍贿赂或者指使、诱导当事人行贿；是否向司法行政部门提供虚假材料或者有其他弄虚作假行为；是否故意提供虚假证据或者威胁、利诱他人提供虚假证据，妨碍对方当事人合法取得证据；是否接受对方当事人财物或者其他利益，与对方当事人或者第三人恶意串通，侵害委托人权益；是否扰乱法庭、仲裁庭秩序，干扰诉讼、仲裁活动的正常进行；是否煽动、教唆当事人采取扰乱公共秩序、危害公共安全等非法手段解决争议；是否发表危害国家安全、</w:t>
            </w:r>
            <w:r>
              <w:rPr>
                <w:rFonts w:ascii="仿宋" w:hAnsi="仿宋" w:eastAsia="仿宋"/>
                <w:color w:val="000000" w:themeColor="text1"/>
                <w14:textFill>
                  <w14:solidFill>
                    <w14:schemeClr w14:val="tx1"/>
                  </w14:solidFill>
                </w14:textFill>
              </w:rPr>
              <w:t>恶意诽谤他人、严重扰乱法庭秩序的言论</w:t>
            </w:r>
            <w:r>
              <w:rPr>
                <w:rFonts w:hint="eastAsia" w:ascii="仿宋" w:hAnsi="仿宋" w:eastAsia="仿宋"/>
                <w:color w:val="000000" w:themeColor="text1"/>
                <w14:textFill>
                  <w14:solidFill>
                    <w14:schemeClr w14:val="tx1"/>
                  </w14:solidFill>
                </w14:textFill>
              </w:rPr>
              <w:t>；是否</w:t>
            </w:r>
            <w:r>
              <w:rPr>
                <w:rFonts w:ascii="仿宋" w:hAnsi="仿宋" w:eastAsia="仿宋"/>
                <w:color w:val="000000" w:themeColor="text1"/>
                <w14:textFill>
                  <w14:solidFill>
                    <w14:schemeClr w14:val="tx1"/>
                  </w14:solidFill>
                </w14:textFill>
              </w:rPr>
              <w:t>泄露国家秘密</w:t>
            </w:r>
            <w:r>
              <w:rPr>
                <w:rFonts w:hint="eastAsia" w:ascii="仿宋" w:hAnsi="仿宋" w:eastAsia="仿宋"/>
                <w:color w:val="000000" w:themeColor="text1"/>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227" w:type="dxa"/>
          <w:trHeight w:val="2767" w:hRule="atLeast"/>
        </w:trPr>
        <w:tc>
          <w:tcPr>
            <w:tcW w:w="427" w:type="dxa"/>
            <w:vMerge w:val="continue"/>
          </w:tcPr>
          <w:p>
            <w:pPr>
              <w:spacing w:line="300" w:lineRule="exact"/>
              <w:rPr>
                <w:color w:val="000000" w:themeColor="text1"/>
                <w14:textFill>
                  <w14:solidFill>
                    <w14:schemeClr w14:val="tx1"/>
                  </w14:solidFill>
                </w14:textFill>
              </w:rPr>
            </w:pPr>
          </w:p>
        </w:tc>
        <w:tc>
          <w:tcPr>
            <w:tcW w:w="957" w:type="dxa"/>
            <w:gridSpan w:val="2"/>
            <w:vMerge w:val="continue"/>
          </w:tcPr>
          <w:p>
            <w:pPr>
              <w:spacing w:line="300" w:lineRule="exact"/>
              <w:rPr>
                <w:color w:val="000000" w:themeColor="text1"/>
                <w14:textFill>
                  <w14:solidFill>
                    <w14:schemeClr w14:val="tx1"/>
                  </w14:solidFill>
                </w14:textFill>
              </w:rPr>
            </w:pPr>
          </w:p>
        </w:tc>
        <w:tc>
          <w:tcPr>
            <w:tcW w:w="4536" w:type="dxa"/>
            <w:gridSpan w:val="6"/>
            <w:tcBorders>
              <w:top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中华人民共和国律师法》第五十一条规定：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tc>
        <w:tc>
          <w:tcPr>
            <w:tcW w:w="1087" w:type="dxa"/>
            <w:gridSpan w:val="3"/>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943" w:type="dxa"/>
            <w:gridSpan w:val="3"/>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事务所</w:t>
            </w:r>
          </w:p>
        </w:tc>
        <w:tc>
          <w:tcPr>
            <w:tcW w:w="825" w:type="dxa"/>
            <w:gridSpan w:val="2"/>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gridSpan w:val="2"/>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001" w:type="dxa"/>
            <w:tcBorders>
              <w:top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有无</w:t>
            </w:r>
            <w:r>
              <w:rPr>
                <w:rFonts w:ascii="仿宋" w:hAnsi="仿宋" w:eastAsia="仿宋"/>
                <w:color w:val="000000" w:themeColor="text1"/>
                <w14:textFill>
                  <w14:solidFill>
                    <w14:schemeClr w14:val="tx1"/>
                  </w14:solidFill>
                </w14:textFill>
              </w:rPr>
              <w:t>受到警告处罚后一年内又发生应当给予警告处罚情形</w:t>
            </w:r>
            <w:r>
              <w:rPr>
                <w:rFonts w:hint="eastAsia" w:ascii="仿宋" w:hAnsi="仿宋" w:eastAsia="仿宋"/>
                <w:color w:val="000000" w:themeColor="text1"/>
                <w14:textFill>
                  <w14:solidFill>
                    <w14:schemeClr w14:val="tx1"/>
                  </w14:solidFill>
                </w14:textFill>
              </w:rPr>
              <w:t>；有无</w:t>
            </w:r>
            <w:r>
              <w:rPr>
                <w:rFonts w:ascii="仿宋" w:hAnsi="仿宋" w:eastAsia="仿宋"/>
                <w:color w:val="000000" w:themeColor="text1"/>
                <w14:textFill>
                  <w14:solidFill>
                    <w14:schemeClr w14:val="tx1"/>
                  </w14:solidFill>
                </w14:textFill>
              </w:rPr>
              <w:t>受到停止执业处罚期满后二年内又发生应当给予停止执业处罚情形</w:t>
            </w:r>
            <w:r>
              <w:rPr>
                <w:rFonts w:hint="eastAsia" w:ascii="仿宋" w:hAnsi="仿宋" w:eastAsia="仿宋"/>
                <w:color w:val="000000" w:themeColor="text1"/>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16" w:type="dxa"/>
        </w:trPr>
        <w:tc>
          <w:tcPr>
            <w:tcW w:w="675"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993"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抽查事项名称</w:t>
            </w:r>
          </w:p>
        </w:tc>
        <w:tc>
          <w:tcPr>
            <w:tcW w:w="4110" w:type="dxa"/>
            <w:gridSpan w:val="4"/>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抽查依据</w:t>
            </w:r>
          </w:p>
        </w:tc>
        <w:tc>
          <w:tcPr>
            <w:tcW w:w="1069"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主体</w:t>
            </w:r>
          </w:p>
        </w:tc>
        <w:tc>
          <w:tcPr>
            <w:tcW w:w="1027"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对象</w:t>
            </w:r>
          </w:p>
        </w:tc>
        <w:tc>
          <w:tcPr>
            <w:tcW w:w="698"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比例</w:t>
            </w:r>
          </w:p>
        </w:tc>
        <w:tc>
          <w:tcPr>
            <w:tcW w:w="709"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方式</w:t>
            </w:r>
          </w:p>
        </w:tc>
        <w:tc>
          <w:tcPr>
            <w:tcW w:w="4215"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16" w:type="dxa"/>
          <w:trHeight w:val="2273" w:hRule="atLeast"/>
        </w:trPr>
        <w:tc>
          <w:tcPr>
            <w:tcW w:w="675" w:type="dxa"/>
            <w:gridSpan w:val="2"/>
            <w:tcBorders>
              <w:bottom w:val="single" w:color="auto" w:sz="4" w:space="0"/>
            </w:tcBorders>
          </w:tcPr>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p>
            <w:pPr>
              <w:spacing w:line="300" w:lineRule="exact"/>
              <w:rPr>
                <w:color w:val="000000" w:themeColor="text1"/>
                <w14:textFill>
                  <w14:solidFill>
                    <w14:schemeClr w14:val="tx1"/>
                  </w14:solidFill>
                </w14:textFill>
              </w:rPr>
            </w:pPr>
          </w:p>
        </w:tc>
        <w:tc>
          <w:tcPr>
            <w:tcW w:w="993" w:type="dxa"/>
            <w:gridSpan w:val="2"/>
            <w:tcBorders>
              <w:bottom w:val="single" w:color="auto" w:sz="4" w:space="0"/>
            </w:tcBorders>
          </w:tcPr>
          <w:p>
            <w:pPr>
              <w:spacing w:line="300" w:lineRule="exact"/>
              <w:rPr>
                <w:color w:val="000000" w:themeColor="text1"/>
                <w14:textFill>
                  <w14:solidFill>
                    <w14:schemeClr w14:val="tx1"/>
                  </w14:solidFill>
                </w14:textFill>
              </w:rPr>
            </w:pPr>
          </w:p>
        </w:tc>
        <w:tc>
          <w:tcPr>
            <w:tcW w:w="4110" w:type="dxa"/>
            <w:gridSpan w:val="4"/>
            <w:tcBorders>
              <w:bottom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中华人民共和国律师法》第五十五条：没有取得律师执业证书的人员以律师名义从事法律服务业务的，由所在地的县级以上地方人民政府司法行政部门责令停止非法执业，没收违法所得，处违法所得一倍以上五倍以下的罚款。</w:t>
            </w:r>
          </w:p>
        </w:tc>
        <w:tc>
          <w:tcPr>
            <w:tcW w:w="1069" w:type="dxa"/>
            <w:gridSpan w:val="3"/>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1027" w:type="dxa"/>
            <w:gridSpan w:val="3"/>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律师</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事务所</w:t>
            </w:r>
          </w:p>
        </w:tc>
        <w:tc>
          <w:tcPr>
            <w:tcW w:w="698" w:type="dxa"/>
            <w:gridSpan w:val="2"/>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gridSpan w:val="2"/>
            <w:tcBorders>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215" w:type="dxa"/>
            <w:gridSpan w:val="3"/>
            <w:tcBorders>
              <w:bottom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是否</w:t>
            </w:r>
            <w:r>
              <w:rPr>
                <w:rFonts w:hint="eastAsia" w:ascii="仿宋" w:hAnsi="仿宋" w:eastAsia="仿宋"/>
                <w:color w:val="000000" w:themeColor="text1"/>
                <w:lang w:eastAsia="zh-CN"/>
                <w14:textFill>
                  <w14:solidFill>
                    <w14:schemeClr w14:val="tx1"/>
                  </w14:solidFill>
                </w14:textFill>
              </w:rPr>
              <w:t>存在</w:t>
            </w:r>
            <w:r>
              <w:rPr>
                <w:rFonts w:hint="eastAsia" w:ascii="仿宋" w:hAnsi="仿宋" w:eastAsia="仿宋"/>
                <w:color w:val="000000" w:themeColor="text1"/>
                <w14:textFill>
                  <w14:solidFill>
                    <w14:schemeClr w14:val="tx1"/>
                  </w14:solidFill>
                </w14:textFill>
              </w:rPr>
              <w:t>没有取得律师执业证书的人员以律师名义从事法律服务业务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16" w:type="dxa"/>
          <w:trHeight w:val="5602" w:hRule="atLeast"/>
        </w:trPr>
        <w:tc>
          <w:tcPr>
            <w:tcW w:w="675" w:type="dxa"/>
            <w:gridSpan w:val="2"/>
            <w:tcBorders>
              <w:top w:val="single" w:color="auto" w:sz="4" w:space="0"/>
            </w:tcBorders>
            <w:vAlign w:val="center"/>
          </w:tcPr>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p>
            <w:pPr>
              <w:spacing w:line="300" w:lineRule="exact"/>
              <w:jc w:val="center"/>
              <w:rPr>
                <w:color w:val="000000" w:themeColor="text1"/>
                <w14:textFill>
                  <w14:solidFill>
                    <w14:schemeClr w14:val="tx1"/>
                  </w14:solidFill>
                </w14:textFill>
              </w:rPr>
            </w:pPr>
          </w:p>
        </w:tc>
        <w:tc>
          <w:tcPr>
            <w:tcW w:w="993" w:type="dxa"/>
            <w:gridSpan w:val="2"/>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对基层法律服务所的检查</w:t>
            </w:r>
          </w:p>
        </w:tc>
        <w:tc>
          <w:tcPr>
            <w:tcW w:w="4110" w:type="dxa"/>
            <w:gridSpan w:val="4"/>
            <w:tcBorders>
              <w:top w:val="single" w:color="auto" w:sz="4" w:space="0"/>
            </w:tcBorders>
            <w:vAlign w:val="center"/>
          </w:tcPr>
          <w:p>
            <w:pPr>
              <w:pStyle w:val="6"/>
              <w:keepNext w:val="0"/>
              <w:keepLines w:val="0"/>
              <w:widowControl/>
              <w:suppressLineNumbers w:val="0"/>
              <w:jc w:val="both"/>
              <w:rPr>
                <w:rFonts w:hint="eastAsia" w:ascii="仿宋" w:hAnsi="仿宋" w:eastAsia="仿宋" w:cs="仿宋"/>
                <w:lang w:eastAsia="zh-CN"/>
              </w:rPr>
            </w:pPr>
            <w:r>
              <w:rPr>
                <w:rFonts w:hint="eastAsia" w:ascii="仿宋" w:hAnsi="仿宋" w:eastAsia="仿宋" w:cs="仿宋"/>
                <w:color w:val="000000" w:themeColor="text1"/>
                <w14:textFill>
                  <w14:solidFill>
                    <w14:schemeClr w14:val="tx1"/>
                  </w14:solidFill>
                </w14:textFill>
              </w:rPr>
              <w:t>《基层法律服务</w:t>
            </w:r>
            <w:r>
              <w:rPr>
                <w:rFonts w:hint="eastAsia" w:ascii="仿宋" w:hAnsi="仿宋" w:eastAsia="仿宋" w:cs="仿宋"/>
                <w:color w:val="000000" w:themeColor="text1"/>
                <w:lang w:eastAsia="zh-CN"/>
                <w14:textFill>
                  <w14:solidFill>
                    <w14:schemeClr w14:val="tx1"/>
                  </w14:solidFill>
                </w14:textFill>
              </w:rPr>
              <w:t>所</w:t>
            </w:r>
            <w:r>
              <w:rPr>
                <w:rFonts w:hint="eastAsia" w:ascii="仿宋" w:hAnsi="仿宋" w:eastAsia="仿宋" w:cs="仿宋"/>
                <w:color w:val="000000" w:themeColor="text1"/>
                <w14:textFill>
                  <w14:solidFill>
                    <w14:schemeClr w14:val="tx1"/>
                  </w14:solidFill>
                </w14:textFill>
              </w:rPr>
              <w:t>管理办法》第</w:t>
            </w:r>
            <w:r>
              <w:rPr>
                <w:rFonts w:hint="eastAsia" w:ascii="仿宋" w:hAnsi="仿宋" w:eastAsia="仿宋" w:cs="仿宋"/>
                <w:color w:val="000000" w:themeColor="text1"/>
                <w:lang w:eastAsia="zh-CN"/>
                <w14:textFill>
                  <w14:solidFill>
                    <w14:schemeClr w14:val="tx1"/>
                  </w14:solidFill>
                </w14:textFill>
              </w:rPr>
              <w:t>三十六</w:t>
            </w:r>
            <w:r>
              <w:rPr>
                <w:rFonts w:hint="eastAsia" w:ascii="仿宋" w:hAnsi="仿宋" w:eastAsia="仿宋" w:cs="仿宋"/>
                <w:color w:val="000000" w:themeColor="text1"/>
                <w14:textFill>
                  <w14:solidFill>
                    <w14:schemeClr w14:val="tx1"/>
                  </w14:solidFill>
                </w14:textFill>
              </w:rPr>
              <w:t>条:</w:t>
            </w:r>
            <w:r>
              <w:rPr>
                <w:rFonts w:hint="eastAsia" w:ascii="仿宋" w:hAnsi="仿宋" w:eastAsia="仿宋" w:cs="仿宋"/>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 w:hAnsi="仿宋" w:eastAsia="仿宋" w:cs="仿宋"/>
                <w:lang w:eastAsia="zh-CN"/>
              </w:rPr>
              <w:t>。</w:t>
            </w:r>
          </w:p>
          <w:p>
            <w:pPr>
              <w:pStyle w:val="27"/>
              <w:spacing w:line="300" w:lineRule="exact"/>
              <w:rPr>
                <w:rFonts w:ascii="仿宋" w:hAnsi="仿宋" w:eastAsia="仿宋"/>
                <w:color w:val="000000" w:themeColor="text1"/>
                <w14:textFill>
                  <w14:solidFill>
                    <w14:schemeClr w14:val="tx1"/>
                  </w14:solidFill>
                </w14:textFill>
              </w:rPr>
            </w:pPr>
          </w:p>
        </w:tc>
        <w:tc>
          <w:tcPr>
            <w:tcW w:w="1069" w:type="dxa"/>
            <w:gridSpan w:val="3"/>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市司法局</w:t>
            </w:r>
          </w:p>
        </w:tc>
        <w:tc>
          <w:tcPr>
            <w:tcW w:w="1027" w:type="dxa"/>
            <w:gridSpan w:val="3"/>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法律</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服务所</w:t>
            </w:r>
          </w:p>
        </w:tc>
        <w:tc>
          <w:tcPr>
            <w:tcW w:w="698" w:type="dxa"/>
            <w:gridSpan w:val="2"/>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709" w:type="dxa"/>
            <w:gridSpan w:val="2"/>
            <w:tcBorders>
              <w:top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4215" w:type="dxa"/>
            <w:gridSpan w:val="3"/>
            <w:tcBorders>
              <w:top w:val="single" w:color="auto" w:sz="4" w:space="0"/>
            </w:tcBorders>
            <w:vAlign w:val="center"/>
          </w:tcPr>
          <w:p>
            <w:pPr>
              <w:pStyle w:val="27"/>
              <w:spacing w:line="30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是否超越业务范围；是否违反业务收费管理规定，擅自提高收费标准，自立名目乱收费；是否以贬损他人、抬高自己、虚假承诺或者支付介绍费等不正当手段争揽业务；是否伪造、涂改、抵押、出租、出借本所执业证书；是否未经核准登记变更本所名称、法定代表人、执业场所和章程，擅自分立、合并或者设立业务接待站（点）；是否不按规定接受年度检查，采用弄虚作假手段骗取通过年度检查；是否违反财务管理规定，私分、挪用或者以其他方式非法处置本所资产；是否聘用不具备执业资格的人员以基层法律服务工作者名义承办业务；是否放纵、包庇本所基层法律服务工作者的违法违纪行为；是否内部管理混乱，导致无法正常开展业务。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957"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抽查事项名称</w:t>
            </w:r>
          </w:p>
        </w:tc>
        <w:tc>
          <w:tcPr>
            <w:tcW w:w="2126" w:type="dxa"/>
            <w:gridSpan w:val="2"/>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抽查依据</w:t>
            </w:r>
          </w:p>
        </w:tc>
        <w:tc>
          <w:tcPr>
            <w:tcW w:w="1134"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主体</w:t>
            </w:r>
          </w:p>
        </w:tc>
        <w:tc>
          <w:tcPr>
            <w:tcW w:w="993"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对象</w:t>
            </w:r>
          </w:p>
        </w:tc>
        <w:tc>
          <w:tcPr>
            <w:tcW w:w="850"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比例</w:t>
            </w:r>
          </w:p>
        </w:tc>
        <w:tc>
          <w:tcPr>
            <w:tcW w:w="850" w:type="dxa"/>
            <w:gridSpan w:val="3"/>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方式</w:t>
            </w:r>
          </w:p>
        </w:tc>
        <w:tc>
          <w:tcPr>
            <w:tcW w:w="6375" w:type="dxa"/>
            <w:gridSpan w:val="9"/>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7" w:type="dxa"/>
            <w:vAlign w:val="center"/>
          </w:tcPr>
          <w:p>
            <w:pPr>
              <w:spacing w:line="3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957" w:type="dxa"/>
            <w:gridSpan w:val="2"/>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对基层法律服务工作者执业检查</w:t>
            </w:r>
          </w:p>
        </w:tc>
        <w:tc>
          <w:tcPr>
            <w:tcW w:w="2126" w:type="dxa"/>
            <w:gridSpan w:val="2"/>
            <w:vAlign w:val="center"/>
          </w:tcPr>
          <w:p>
            <w:pPr>
              <w:pStyle w:val="6"/>
              <w:keepNext w:val="0"/>
              <w:keepLines w:val="0"/>
              <w:widowControl/>
              <w:suppressLineNumbers w:val="0"/>
              <w:jc w:val="both"/>
              <w:rPr>
                <w:rFonts w:hint="eastAsia" w:ascii="仿宋" w:hAnsi="仿宋" w:eastAsia="仿宋" w:cs="仿宋"/>
                <w:sz w:val="21"/>
                <w:szCs w:val="21"/>
                <w:lang w:eastAsia="zh-CN"/>
              </w:rPr>
            </w:pPr>
            <w:r>
              <w:rPr>
                <w:rFonts w:hint="eastAsia" w:ascii="仿宋" w:hAnsi="仿宋" w:eastAsia="仿宋" w:cs="仿宋"/>
                <w:color w:val="000000" w:themeColor="text1"/>
                <w:sz w:val="21"/>
                <w:szCs w:val="21"/>
                <w14:textFill>
                  <w14:solidFill>
                    <w14:schemeClr w14:val="tx1"/>
                  </w14:solidFill>
                </w14:textFill>
              </w:rPr>
              <w:t>《基层法律服务工作者管理办法》</w:t>
            </w:r>
            <w:r>
              <w:rPr>
                <w:rFonts w:hint="eastAsia" w:ascii="仿宋" w:hAnsi="仿宋" w:eastAsia="仿宋" w:cs="仿宋"/>
                <w:sz w:val="21"/>
                <w:szCs w:val="21"/>
              </w:rPr>
              <w:t>第四十六条</w:t>
            </w:r>
            <w:r>
              <w:rPr>
                <w:rFonts w:hint="eastAsia" w:ascii="仿宋" w:hAnsi="仿宋" w:eastAsia="仿宋" w:cs="仿宋"/>
                <w:sz w:val="21"/>
                <w:szCs w:val="21"/>
                <w:lang w:eastAsia="zh-CN"/>
              </w:rPr>
              <w:t>：</w:t>
            </w:r>
            <w:r>
              <w:rPr>
                <w:rFonts w:hint="eastAsia" w:ascii="仿宋" w:hAnsi="仿宋" w:eastAsia="仿宋" w:cs="仿宋"/>
                <w:sz w:val="21"/>
                <w:szCs w:val="21"/>
              </w:rPr>
              <w:t>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仿宋" w:hAnsi="仿宋" w:eastAsia="仿宋" w:cs="仿宋"/>
                <w:sz w:val="21"/>
                <w:szCs w:val="21"/>
                <w:lang w:eastAsia="zh-CN"/>
              </w:rPr>
              <w:t>。</w:t>
            </w:r>
          </w:p>
          <w:p>
            <w:pPr>
              <w:pStyle w:val="27"/>
              <w:spacing w:line="300" w:lineRule="exact"/>
              <w:rPr>
                <w:rFonts w:ascii="仿宋" w:hAnsi="仿宋" w:eastAsia="仿宋" w:cs="Times New Roman"/>
                <w:color w:val="000000" w:themeColor="text1"/>
                <w14:textFill>
                  <w14:solidFill>
                    <w14:schemeClr w14:val="tx1"/>
                  </w14:solidFill>
                </w14:textFill>
              </w:rPr>
            </w:pPr>
          </w:p>
          <w:p>
            <w:pPr>
              <w:pStyle w:val="27"/>
              <w:spacing w:line="300" w:lineRule="exact"/>
              <w:rPr>
                <w:rFonts w:ascii="仿宋" w:hAnsi="仿宋" w:eastAsia="仿宋" w:cs="Times New Roman"/>
                <w:color w:val="000000" w:themeColor="text1"/>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市司法局</w:t>
            </w:r>
          </w:p>
        </w:tc>
        <w:tc>
          <w:tcPr>
            <w:tcW w:w="993" w:type="dxa"/>
            <w:vAlign w:val="center"/>
          </w:tcPr>
          <w:p>
            <w:pPr>
              <w:spacing w:line="3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法律</w:t>
            </w:r>
          </w:p>
          <w:p>
            <w:pPr>
              <w:spacing w:line="3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服务所</w:t>
            </w:r>
          </w:p>
        </w:tc>
        <w:tc>
          <w:tcPr>
            <w:tcW w:w="850" w:type="dxa"/>
            <w:gridSpan w:val="3"/>
            <w:vAlign w:val="center"/>
          </w:tcPr>
          <w:p>
            <w:pPr>
              <w:spacing w:line="3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p>
        </w:tc>
        <w:tc>
          <w:tcPr>
            <w:tcW w:w="850" w:type="dxa"/>
            <w:gridSpan w:val="3"/>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spacing w:line="3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检查</w:t>
            </w:r>
          </w:p>
        </w:tc>
        <w:tc>
          <w:tcPr>
            <w:tcW w:w="6375" w:type="dxa"/>
            <w:gridSpan w:val="9"/>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ascii="仿宋" w:hAnsi="仿宋" w:eastAsia="仿宋"/>
                <w:color w:val="000000" w:themeColor="text1"/>
                <w14:textFill>
                  <w14:solidFill>
                    <w14:schemeClr w14:val="tx1"/>
                  </w14:solidFill>
                </w14:textFill>
              </w:rPr>
            </w:pPr>
            <w:r>
              <w:rPr>
                <w:rFonts w:hint="eastAsia" w:ascii="仿宋" w:hAnsi="仿宋" w:eastAsia="仿宋" w:cs="仿宋"/>
                <w:sz w:val="21"/>
                <w:szCs w:val="21"/>
                <w:lang w:eastAsia="zh-CN"/>
              </w:rPr>
              <w:t>是否</w:t>
            </w:r>
            <w:r>
              <w:rPr>
                <w:rFonts w:hint="eastAsia" w:ascii="仿宋" w:hAnsi="仿宋" w:eastAsia="仿宋" w:cs="仿宋"/>
                <w:sz w:val="21"/>
                <w:szCs w:val="21"/>
              </w:rPr>
              <w:t>超越业务范围和诉讼代理执业区域</w:t>
            </w:r>
            <w:r>
              <w:rPr>
                <w:rFonts w:hint="eastAsia" w:ascii="仿宋" w:hAnsi="仿宋" w:eastAsia="仿宋" w:cs="仿宋"/>
                <w:sz w:val="21"/>
                <w:szCs w:val="21"/>
                <w:lang w:eastAsia="zh-CN"/>
              </w:rPr>
              <w:t>；</w:t>
            </w:r>
            <w:r>
              <w:rPr>
                <w:rFonts w:hint="eastAsia" w:ascii="仿宋" w:hAnsi="仿宋" w:eastAsia="仿宋"/>
                <w:color w:val="000000" w:themeColor="text1"/>
                <w14:textFill>
                  <w14:solidFill>
                    <w14:schemeClr w14:val="tx1"/>
                  </w14:solidFill>
                </w14:textFill>
              </w:rPr>
              <w:t>是否以贬损他人、抬高自己、虚假承诺或者支付介绍费等不正当手段争揽业务;是否曾担任法官的基层法律服务工作者，担任原任职法院审理</w:t>
            </w:r>
            <w:r>
              <w:rPr>
                <w:rFonts w:hint="eastAsia" w:ascii="仿宋" w:hAnsi="仿宋" w:eastAsia="仿宋"/>
                <w:color w:val="000000" w:themeColor="text1"/>
                <w:lang w:eastAsia="zh-CN"/>
                <w14:textFill>
                  <w14:solidFill>
                    <w14:schemeClr w14:val="tx1"/>
                  </w14:solidFill>
                </w14:textFill>
              </w:rPr>
              <w:t>案件</w:t>
            </w:r>
            <w:r>
              <w:rPr>
                <w:rFonts w:hint="eastAsia" w:ascii="仿宋" w:hAnsi="仿宋" w:eastAsia="仿宋"/>
                <w:color w:val="000000" w:themeColor="text1"/>
                <w14:textFill>
                  <w14:solidFill>
                    <w14:schemeClr w14:val="tx1"/>
                  </w14:solidFill>
                </w14:textFill>
              </w:rPr>
              <w:t>的诉讼代理人;是否冒用律师名义执业;是否同时在基层法律服务所和律师事务所或者公证机构执业，或者同时在两个以上基层法律服务所执业;是否无正当理由拒绝履行法律援助义务;是否明知委托人的要求是非法的、欺诈性的，仍为其提供帮助;是否在代理活动中超越代理权限或者滥用代理权，侵犯被代理人合法利益;是否在同一诉讼、仲裁、行政裁决中，为双方当事人或者有利</w:t>
            </w:r>
            <w:r>
              <w:rPr>
                <w:rFonts w:hint="eastAsia" w:ascii="仿宋" w:hAnsi="仿宋" w:eastAsia="仿宋" w:cs="仿宋"/>
                <w:color w:val="000000" w:themeColor="text1"/>
                <w:sz w:val="21"/>
                <w:szCs w:val="21"/>
                <w14:textFill>
                  <w14:solidFill>
                    <w14:schemeClr w14:val="tx1"/>
                  </w14:solidFill>
                </w14:textFill>
              </w:rPr>
              <w:t>害关系的第三人代理;是否不遵守与当事人订立的委托合同，拒绝或者疏怠履行法律服务义务，损害委托人合法权益;是否在调解、代理、法律顾问等执业活动中压制、侮辱、报复当事人，造成恶劣影响;</w:t>
            </w:r>
            <w:r>
              <w:rPr>
                <w:rFonts w:hint="eastAsia" w:ascii="仿宋" w:hAnsi="仿宋" w:eastAsia="仿宋" w:cs="仿宋"/>
                <w:color w:val="000000" w:themeColor="text1"/>
                <w:sz w:val="21"/>
                <w:szCs w:val="21"/>
                <w:lang w:eastAsia="zh-CN"/>
                <w14:textFill>
                  <w14:solidFill>
                    <w14:schemeClr w14:val="tx1"/>
                  </w14:solidFill>
                </w14:textFill>
              </w:rPr>
              <w:t>是否</w:t>
            </w:r>
            <w:r>
              <w:rPr>
                <w:rFonts w:hint="eastAsia" w:ascii="仿宋" w:hAnsi="仿宋" w:eastAsia="仿宋" w:cs="仿宋"/>
                <w:sz w:val="21"/>
                <w:szCs w:val="21"/>
              </w:rPr>
              <w:t>不按规定接受年度考核，或者在年度考核中弄虚作假;</w:t>
            </w:r>
            <w:r>
              <w:rPr>
                <w:rFonts w:hint="eastAsia" w:ascii="仿宋" w:hAnsi="仿宋" w:eastAsia="仿宋" w:cs="仿宋"/>
                <w:color w:val="000000" w:themeColor="text1"/>
                <w:sz w:val="21"/>
                <w:szCs w:val="21"/>
                <w14:textFill>
                  <w14:solidFill>
                    <w14:schemeClr w14:val="tx1"/>
                  </w14:solidFill>
                </w14:textFill>
              </w:rPr>
              <w:t>是否</w:t>
            </w:r>
            <w:r>
              <w:rPr>
                <w:rFonts w:hint="eastAsia" w:ascii="仿宋" w:hAnsi="仿宋" w:eastAsia="仿宋" w:cs="仿宋"/>
                <w:sz w:val="21"/>
                <w:szCs w:val="21"/>
              </w:rPr>
              <w:t>泄露在执业活动中知悉的商业秘密或者个人隐私</w:t>
            </w:r>
            <w:r>
              <w:rPr>
                <w:rFonts w:hint="eastAsia" w:ascii="仿宋" w:hAnsi="仿宋" w:eastAsia="仿宋" w:cs="仿宋"/>
                <w:color w:val="000000" w:themeColor="text1"/>
                <w:sz w:val="21"/>
                <w:szCs w:val="21"/>
                <w14:textFill>
                  <w14:solidFill>
                    <w14:schemeClr w14:val="tx1"/>
                  </w14:solidFill>
                </w14:textFill>
              </w:rPr>
              <w:t>;是否以影响案件审判、仲裁或者行政裁定结果为目的，违反规定会见有关司法、仲裁或者行政执法人员，或者向其请客送礼的;是否私自接受委托承办法律事务，或者私自收取费用，或者向委托人索要额外报酬;是否在代理活</w:t>
            </w:r>
            <w:r>
              <w:rPr>
                <w:rFonts w:hint="eastAsia" w:ascii="仿宋" w:hAnsi="仿宋" w:eastAsia="仿宋"/>
                <w:color w:val="000000" w:themeColor="text1"/>
                <w14:textFill>
                  <w14:solidFill>
                    <w14:schemeClr w14:val="tx1"/>
                  </w14:solidFill>
                </w14:textFill>
              </w:rPr>
              <w:t xml:space="preserve">动中收受对方当事人、利害关系人财物或者与其恶意串通，损害委托人合法权益;是否违反司法、仲裁、行政执法工作有关制度规定，干扰或者阻碍司法、仲裁、行政执法工作正常进行;是否泄露在执业中知悉的国家秘密;是否伪造、隐匿、毁灭证据或者故意协助委托人伪造、隐匿、毁灭证据;是否向有关司法人员、仲裁人员或者行政执法人员行贿，或者指使、诱导委托人向其行贿。   </w:t>
            </w:r>
          </w:p>
        </w:tc>
      </w:tr>
    </w:tbl>
    <w:p>
      <w:pPr>
        <w:spacing w:line="300" w:lineRule="exact"/>
        <w:rPr>
          <w:color w:val="000000" w:themeColor="text1"/>
          <w14:textFill>
            <w14:solidFill>
              <w14:schemeClr w14:val="tx1"/>
            </w14:solidFill>
          </w14:textFill>
        </w:rPr>
      </w:pPr>
    </w:p>
    <w:tbl>
      <w:tblPr>
        <w:tblStyle w:val="8"/>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7"/>
        <w:gridCol w:w="957"/>
        <w:gridCol w:w="5103"/>
        <w:gridCol w:w="1134"/>
        <w:gridCol w:w="851"/>
        <w:gridCol w:w="708"/>
        <w:gridCol w:w="709"/>
        <w:gridCol w:w="3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95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抽查事项名称</w:t>
            </w:r>
          </w:p>
        </w:tc>
        <w:tc>
          <w:tcPr>
            <w:tcW w:w="5103"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抽查依据</w:t>
            </w:r>
          </w:p>
        </w:tc>
        <w:tc>
          <w:tcPr>
            <w:tcW w:w="1134"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主体</w:t>
            </w:r>
          </w:p>
        </w:tc>
        <w:tc>
          <w:tcPr>
            <w:tcW w:w="851"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对象</w:t>
            </w:r>
          </w:p>
        </w:tc>
        <w:tc>
          <w:tcPr>
            <w:tcW w:w="708"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比例</w:t>
            </w:r>
          </w:p>
        </w:tc>
        <w:tc>
          <w:tcPr>
            <w:tcW w:w="709"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w:t>
            </w:r>
          </w:p>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方式</w:t>
            </w:r>
          </w:p>
        </w:tc>
        <w:tc>
          <w:tcPr>
            <w:tcW w:w="3827" w:type="dxa"/>
            <w:vAlign w:val="center"/>
          </w:tcPr>
          <w:p>
            <w:pPr>
              <w:spacing w:line="3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抽查内容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5" w:hRule="atLeast"/>
        </w:trPr>
        <w:tc>
          <w:tcPr>
            <w:tcW w:w="427" w:type="dxa"/>
            <w:vMerge w:val="restart"/>
            <w:tcBorders>
              <w:top w:val="single" w:color="auto" w:sz="4" w:space="0"/>
            </w:tcBorders>
            <w:vAlign w:val="center"/>
          </w:tcPr>
          <w:p>
            <w:pPr>
              <w:spacing w:line="3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957" w:type="dxa"/>
            <w:vMerge w:val="restart"/>
            <w:tcBorders>
              <w:top w:val="single" w:color="auto" w:sz="4" w:space="0"/>
            </w:tcBorders>
            <w:vAlign w:val="center"/>
          </w:tcPr>
          <w:p>
            <w:pPr>
              <w:pStyle w:val="28"/>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对公证机构及公证员的检查</w:t>
            </w:r>
          </w:p>
        </w:tc>
        <w:tc>
          <w:tcPr>
            <w:tcW w:w="5103" w:type="dxa"/>
            <w:tcBorders>
              <w:top w:val="single" w:color="auto" w:sz="4" w:space="0"/>
              <w:bottom w:val="single" w:color="auto" w:sz="4" w:space="0"/>
            </w:tcBorders>
            <w:vAlign w:val="center"/>
          </w:tcPr>
          <w:p>
            <w:pPr>
              <w:pStyle w:val="27"/>
              <w:spacing w:line="300" w:lineRule="exact"/>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中华人民共和国公证法》第四十一条：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tc>
        <w:tc>
          <w:tcPr>
            <w:tcW w:w="1134" w:type="dxa"/>
            <w:tcBorders>
              <w:top w:val="single" w:color="auto" w:sz="4" w:space="0"/>
              <w:bottom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市司法局</w:t>
            </w:r>
          </w:p>
        </w:tc>
        <w:tc>
          <w:tcPr>
            <w:tcW w:w="851" w:type="dxa"/>
            <w:tcBorders>
              <w:top w:val="single" w:color="auto" w:sz="4" w:space="0"/>
              <w:bottom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公证处</w:t>
            </w:r>
          </w:p>
        </w:tc>
        <w:tc>
          <w:tcPr>
            <w:tcW w:w="708" w:type="dxa"/>
            <w:tcBorders>
              <w:top w:val="single" w:color="auto" w:sz="4" w:space="0"/>
              <w:bottom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100%</w:t>
            </w:r>
          </w:p>
        </w:tc>
        <w:tc>
          <w:tcPr>
            <w:tcW w:w="709" w:type="dxa"/>
            <w:tcBorders>
              <w:top w:val="single" w:color="auto" w:sz="4" w:space="0"/>
              <w:bottom w:val="single" w:color="auto" w:sz="4" w:space="0"/>
            </w:tcBorders>
            <w:vAlign w:val="center"/>
          </w:tcPr>
          <w:p>
            <w:pPr>
              <w:pStyle w:val="27"/>
              <w:spacing w:line="3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现场</w:t>
            </w:r>
          </w:p>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检查</w:t>
            </w:r>
          </w:p>
        </w:tc>
        <w:tc>
          <w:tcPr>
            <w:tcW w:w="3827" w:type="dxa"/>
            <w:tcBorders>
              <w:top w:val="single" w:color="auto" w:sz="4" w:space="0"/>
              <w:bottom w:val="single" w:color="auto" w:sz="4" w:space="0"/>
            </w:tcBorders>
            <w:vAlign w:val="center"/>
          </w:tcPr>
          <w:p>
            <w:pPr>
              <w:pStyle w:val="27"/>
              <w:spacing w:line="300" w:lineRule="exact"/>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以诋毁其他公证机构、公证员或者支付回扣、佣金等不正当手段争揽公证业务；</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违反规定的收费标准收取公证费；</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同时在二个以上公证机构执业；</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从事有报酬的其他职业；</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为本人及近亲属办理公证或者办理与本人及近亲属有利害关系的公证。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5" w:hRule="atLeast"/>
        </w:trPr>
        <w:tc>
          <w:tcPr>
            <w:tcW w:w="427" w:type="dxa"/>
            <w:vMerge w:val="continue"/>
          </w:tcPr>
          <w:p>
            <w:pPr>
              <w:spacing w:line="300" w:lineRule="exact"/>
              <w:rPr>
                <w:color w:val="000000" w:themeColor="text1"/>
                <w14:textFill>
                  <w14:solidFill>
                    <w14:schemeClr w14:val="tx1"/>
                  </w14:solidFill>
                </w14:textFill>
              </w:rPr>
            </w:pPr>
          </w:p>
        </w:tc>
        <w:tc>
          <w:tcPr>
            <w:tcW w:w="957" w:type="dxa"/>
            <w:vMerge w:val="continue"/>
          </w:tcPr>
          <w:p>
            <w:pPr>
              <w:spacing w:line="300" w:lineRule="exact"/>
              <w:rPr>
                <w:color w:val="000000" w:themeColor="text1"/>
                <w14:textFill>
                  <w14:solidFill>
                    <w14:schemeClr w14:val="tx1"/>
                  </w14:solidFill>
                </w14:textFill>
              </w:rPr>
            </w:pPr>
          </w:p>
        </w:tc>
        <w:tc>
          <w:tcPr>
            <w:tcW w:w="5103" w:type="dxa"/>
            <w:tcBorders>
              <w:top w:val="single" w:color="auto" w:sz="4" w:space="0"/>
            </w:tcBorders>
            <w:vAlign w:val="center"/>
          </w:tcPr>
          <w:p>
            <w:pPr>
              <w:pStyle w:val="27"/>
              <w:spacing w:line="300" w:lineRule="exact"/>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中华人民共和国公证法》第四十二条：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p>
          <w:p>
            <w:pPr>
              <w:pStyle w:val="27"/>
              <w:spacing w:line="300" w:lineRule="exact"/>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仿宋"/>
                <w:color w:val="000000"/>
                <w:sz w:val="21"/>
                <w:szCs w:val="21"/>
                <w:u w:val="none"/>
              </w:rPr>
              <w:t>因故意犯罪或者职务过失犯罪受刑事处罚的，应当吊销公证员执业证书。</w:t>
            </w:r>
          </w:p>
        </w:tc>
        <w:tc>
          <w:tcPr>
            <w:tcW w:w="1134" w:type="dxa"/>
            <w:tcBorders>
              <w:top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市司法局</w:t>
            </w:r>
          </w:p>
        </w:tc>
        <w:tc>
          <w:tcPr>
            <w:tcW w:w="851" w:type="dxa"/>
            <w:tcBorders>
              <w:top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公证处</w:t>
            </w:r>
          </w:p>
        </w:tc>
        <w:tc>
          <w:tcPr>
            <w:tcW w:w="708" w:type="dxa"/>
            <w:tcBorders>
              <w:top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100%</w:t>
            </w:r>
          </w:p>
        </w:tc>
        <w:tc>
          <w:tcPr>
            <w:tcW w:w="709" w:type="dxa"/>
            <w:tcBorders>
              <w:top w:val="single" w:color="auto" w:sz="4" w:space="0"/>
            </w:tcBorders>
            <w:vAlign w:val="center"/>
          </w:tcPr>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现场</w:t>
            </w:r>
          </w:p>
          <w:p>
            <w:pPr>
              <w:pStyle w:val="27"/>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检查</w:t>
            </w:r>
          </w:p>
        </w:tc>
        <w:tc>
          <w:tcPr>
            <w:tcW w:w="3827" w:type="dxa"/>
            <w:tcBorders>
              <w:top w:val="single" w:color="auto" w:sz="4" w:space="0"/>
            </w:tcBorders>
            <w:vAlign w:val="center"/>
          </w:tcPr>
          <w:p>
            <w:pPr>
              <w:pStyle w:val="27"/>
              <w:spacing w:line="300" w:lineRule="exact"/>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私自出具公证书；</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为不真实、不合法的事项出具公证书；</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侵占、挪用公证费或者侵占、盗窃公证专用物品；</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毁损、篡改公证文书或者公证档案；</w:t>
            </w:r>
            <w:r>
              <w:rPr>
                <w:rFonts w:hint="eastAsia" w:ascii="仿宋" w:hAnsi="仿宋" w:eastAsia="仿宋" w:cs="Times New Roman"/>
                <w:color w:val="000000" w:themeColor="text1"/>
                <w:lang w:eastAsia="zh-CN"/>
                <w14:textFill>
                  <w14:solidFill>
                    <w14:schemeClr w14:val="tx1"/>
                  </w14:solidFill>
                </w14:textFill>
              </w:rPr>
              <w:t>是否</w:t>
            </w:r>
            <w:r>
              <w:rPr>
                <w:rFonts w:hint="eastAsia" w:ascii="仿宋" w:hAnsi="仿宋" w:eastAsia="仿宋" w:cs="Times New Roman"/>
                <w:color w:val="000000" w:themeColor="text1"/>
                <w14:textFill>
                  <w14:solidFill>
                    <w14:schemeClr w14:val="tx1"/>
                  </w14:solidFill>
                </w14:textFill>
              </w:rPr>
              <w:t xml:space="preserve">泄露在执业活动中知悉的国家秘密、商业秘密或者个人隐私。                 </w:t>
            </w:r>
          </w:p>
        </w:tc>
      </w:tr>
    </w:tbl>
    <w:p>
      <w:pPr>
        <w:spacing w:line="300" w:lineRule="exact"/>
        <w:rPr>
          <w:color w:val="000000" w:themeColor="text1"/>
          <w14:textFill>
            <w14:solidFill>
              <w14:schemeClr w14:val="tx1"/>
            </w14:solidFill>
          </w14:textFill>
        </w:rPr>
      </w:pPr>
    </w:p>
    <w:p>
      <w:pPr>
        <w:rPr>
          <w:rFonts w:ascii="仿宋" w:hAnsi="仿宋" w:eastAsia="仿宋" w:cs="仿宋"/>
          <w:sz w:val="28"/>
          <w:szCs w:val="28"/>
        </w:rPr>
      </w:pPr>
    </w:p>
    <w:p>
      <w:pPr>
        <w:rPr>
          <w:rFonts w:ascii="方正大标宋简体" w:hAnsi="方正大标宋简体" w:eastAsia="方正大标宋简体" w:cs="方正大标宋简体"/>
          <w:bCs/>
          <w:color w:val="000000"/>
          <w:sz w:val="44"/>
          <w:szCs w:val="44"/>
        </w:rPr>
        <w:sectPr>
          <w:pgSz w:w="16838" w:h="11906" w:orient="landscape"/>
          <w:pgMar w:top="1587" w:right="1701" w:bottom="1587" w:left="1587" w:header="851" w:footer="1304" w:gutter="0"/>
          <w:pgNumType w:fmt="decimal"/>
          <w:cols w:space="0" w:num="1"/>
          <w:docGrid w:type="lines" w:linePitch="312" w:charSpace="0"/>
        </w:sectPr>
      </w:pPr>
    </w:p>
    <w:p>
      <w:pPr>
        <w:rPr>
          <w:rFonts w:hint="eastAsia" w:ascii="宋体" w:hAnsi="宋体" w:eastAsia="黑体" w:cs="黑体"/>
          <w:sz w:val="30"/>
          <w:szCs w:val="30"/>
          <w:lang w:eastAsia="zh-CN"/>
        </w:rPr>
      </w:pPr>
      <w:r>
        <w:rPr>
          <w:rFonts w:hint="eastAsia" w:ascii="宋体" w:hAnsi="宋体" w:eastAsia="黑体" w:cs="黑体"/>
          <w:sz w:val="30"/>
          <w:szCs w:val="30"/>
        </w:rPr>
        <w:t>附件</w:t>
      </w:r>
      <w:r>
        <w:rPr>
          <w:rFonts w:hint="eastAsia" w:ascii="宋体" w:hAnsi="宋体" w:eastAsia="黑体" w:cs="黑体"/>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济源</w:t>
      </w:r>
      <w:r>
        <w:rPr>
          <w:rFonts w:hint="eastAsia" w:ascii="黑体" w:hAnsi="黑体" w:eastAsia="黑体" w:cs="黑体"/>
          <w:b w:val="0"/>
          <w:bCs w:val="0"/>
          <w:sz w:val="44"/>
          <w:szCs w:val="44"/>
          <w:lang w:eastAsia="zh-CN"/>
        </w:rPr>
        <w:t>市</w:t>
      </w:r>
      <w:r>
        <w:rPr>
          <w:rFonts w:hint="eastAsia" w:ascii="黑体" w:hAnsi="黑体" w:eastAsia="黑体" w:cs="黑体"/>
          <w:b w:val="0"/>
          <w:bCs w:val="0"/>
          <w:sz w:val="44"/>
          <w:szCs w:val="44"/>
        </w:rPr>
        <w:t>司法局 “双随机一公开”抽查对象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抽取过程记录表</w:t>
      </w:r>
    </w:p>
    <w:p>
      <w:pPr>
        <w:spacing w:line="400" w:lineRule="exact"/>
        <w:jc w:val="center"/>
        <w:rPr>
          <w:rFonts w:ascii="宋体" w:hAnsi="宋体" w:eastAsia="黑体" w:cs="黑体"/>
          <w:sz w:val="44"/>
          <w:szCs w:val="44"/>
        </w:rPr>
      </w:pPr>
    </w:p>
    <w:tbl>
      <w:tblPr>
        <w:tblStyle w:val="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004"/>
        <w:gridCol w:w="1536"/>
        <w:gridCol w:w="173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006" w:type="dxa"/>
            <w:gridSpan w:val="2"/>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检查事项名称</w:t>
            </w:r>
          </w:p>
        </w:tc>
        <w:tc>
          <w:tcPr>
            <w:tcW w:w="6014"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002"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抽取时间</w:t>
            </w:r>
          </w:p>
        </w:tc>
        <w:tc>
          <w:tcPr>
            <w:tcW w:w="2540" w:type="dxa"/>
            <w:gridSpan w:val="2"/>
            <w:vAlign w:val="center"/>
          </w:tcPr>
          <w:p>
            <w:pPr>
              <w:spacing w:line="400" w:lineRule="exact"/>
              <w:jc w:val="center"/>
              <w:rPr>
                <w:rFonts w:ascii="宋体" w:hAnsi="宋体" w:eastAsia="仿宋" w:cs="仿宋"/>
                <w:kern w:val="0"/>
                <w:sz w:val="28"/>
                <w:szCs w:val="28"/>
              </w:rPr>
            </w:pPr>
          </w:p>
        </w:tc>
        <w:tc>
          <w:tcPr>
            <w:tcW w:w="1730"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抽取方式</w:t>
            </w:r>
          </w:p>
        </w:tc>
        <w:tc>
          <w:tcPr>
            <w:tcW w:w="2748"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随机抽选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3006" w:type="dxa"/>
            <w:gridSpan w:val="2"/>
            <w:vAlign w:val="center"/>
          </w:tcPr>
          <w:p>
            <w:pPr>
              <w:spacing w:line="400" w:lineRule="exact"/>
              <w:jc w:val="center"/>
              <w:rPr>
                <w:rFonts w:ascii="宋体" w:hAnsi="宋体" w:eastAsia="仿宋" w:cs="仿宋"/>
                <w:kern w:val="0"/>
                <w:sz w:val="28"/>
                <w:szCs w:val="28"/>
              </w:rPr>
            </w:pP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抽取被检查对象</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（共 个）</w:t>
            </w:r>
          </w:p>
          <w:p>
            <w:pPr>
              <w:spacing w:line="400" w:lineRule="exact"/>
              <w:jc w:val="center"/>
              <w:rPr>
                <w:rFonts w:ascii="宋体" w:hAnsi="宋体" w:eastAsia="仿宋" w:cs="仿宋"/>
                <w:kern w:val="0"/>
                <w:sz w:val="28"/>
                <w:szCs w:val="28"/>
              </w:rPr>
            </w:pPr>
          </w:p>
        </w:tc>
        <w:tc>
          <w:tcPr>
            <w:tcW w:w="6014" w:type="dxa"/>
            <w:gridSpan w:val="3"/>
            <w:vAlign w:val="center"/>
          </w:tcPr>
          <w:p>
            <w:pPr>
              <w:spacing w:line="400" w:lineRule="exact"/>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006" w:type="dxa"/>
            <w:gridSpan w:val="2"/>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抽取执法检查人员</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（共 人）</w:t>
            </w:r>
          </w:p>
        </w:tc>
        <w:tc>
          <w:tcPr>
            <w:tcW w:w="6014"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3006" w:type="dxa"/>
            <w:gridSpan w:val="2"/>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抽取比例或数量</w:t>
            </w:r>
          </w:p>
        </w:tc>
        <w:tc>
          <w:tcPr>
            <w:tcW w:w="6014"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006" w:type="dxa"/>
            <w:gridSpan w:val="2"/>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参抽取工作人员</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签名</w:t>
            </w:r>
          </w:p>
        </w:tc>
        <w:tc>
          <w:tcPr>
            <w:tcW w:w="6014"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3006" w:type="dxa"/>
            <w:gridSpan w:val="2"/>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见证人员签名</w:t>
            </w:r>
          </w:p>
        </w:tc>
        <w:tc>
          <w:tcPr>
            <w:tcW w:w="6014" w:type="dxa"/>
            <w:gridSpan w:val="3"/>
            <w:vAlign w:val="center"/>
          </w:tcPr>
          <w:p>
            <w:pPr>
              <w:spacing w:line="400" w:lineRule="exact"/>
              <w:jc w:val="center"/>
              <w:rPr>
                <w:rFonts w:ascii="宋体" w:hAnsi="宋体" w:eastAsia="仿宋" w:cs="仿宋"/>
                <w:kern w:val="0"/>
                <w:sz w:val="28"/>
                <w:szCs w:val="28"/>
              </w:rPr>
            </w:pPr>
          </w:p>
        </w:tc>
      </w:tr>
    </w:tbl>
    <w:p>
      <w:pPr>
        <w:spacing w:line="600" w:lineRule="exact"/>
        <w:rPr>
          <w:rFonts w:hint="eastAsia" w:ascii="宋体" w:hAnsi="宋体" w:eastAsia="黑体" w:cs="黑体"/>
          <w:sz w:val="30"/>
          <w:szCs w:val="30"/>
        </w:rPr>
      </w:pPr>
    </w:p>
    <w:p>
      <w:pPr>
        <w:spacing w:line="600" w:lineRule="exact"/>
        <w:rPr>
          <w:rFonts w:hint="eastAsia" w:ascii="宋体" w:hAnsi="宋体" w:eastAsia="黑体" w:cs="黑体"/>
          <w:sz w:val="30"/>
          <w:szCs w:val="30"/>
          <w:lang w:eastAsia="zh-CN"/>
        </w:rPr>
      </w:pPr>
      <w:r>
        <w:rPr>
          <w:rFonts w:hint="eastAsia" w:ascii="宋体" w:hAnsi="宋体" w:eastAsia="黑体" w:cs="黑体"/>
          <w:sz w:val="30"/>
          <w:szCs w:val="30"/>
        </w:rPr>
        <w:t>附件</w:t>
      </w:r>
      <w:r>
        <w:rPr>
          <w:rFonts w:hint="eastAsia" w:ascii="宋体" w:hAnsi="宋体" w:eastAsia="黑体" w:cs="黑体"/>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济源</w:t>
      </w:r>
      <w:r>
        <w:rPr>
          <w:rFonts w:hint="eastAsia" w:ascii="宋体" w:hAnsi="宋体" w:eastAsia="方正大标宋简体" w:cs="方正大标宋简体"/>
          <w:sz w:val="44"/>
          <w:szCs w:val="44"/>
          <w:lang w:eastAsia="zh-CN"/>
        </w:rPr>
        <w:t>市</w:t>
      </w:r>
      <w:r>
        <w:rPr>
          <w:rFonts w:hint="eastAsia" w:ascii="宋体" w:hAnsi="宋体" w:eastAsia="方正大标宋简体" w:cs="方正大标宋简体"/>
          <w:sz w:val="44"/>
          <w:szCs w:val="44"/>
        </w:rPr>
        <w:t>司法局“双随机一公开”抽查工作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大标宋简体" w:cs="方正大标宋简体"/>
          <w:sz w:val="44"/>
          <w:szCs w:val="44"/>
        </w:rPr>
      </w:pPr>
      <w:r>
        <w:rPr>
          <w:rFonts w:hint="eastAsia" w:ascii="宋体" w:hAnsi="宋体" w:eastAsia="方正大标宋简体" w:cs="方正大标宋简体"/>
          <w:sz w:val="44"/>
          <w:szCs w:val="44"/>
        </w:rPr>
        <w:t>现场检查记录表</w:t>
      </w:r>
    </w:p>
    <w:tbl>
      <w:tblPr>
        <w:tblStyle w:val="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497"/>
        <w:gridCol w:w="165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被检查单位</w:t>
            </w:r>
          </w:p>
        </w:tc>
        <w:tc>
          <w:tcPr>
            <w:tcW w:w="2497" w:type="dxa"/>
            <w:vAlign w:val="center"/>
          </w:tcPr>
          <w:p>
            <w:pPr>
              <w:spacing w:line="400" w:lineRule="exact"/>
              <w:jc w:val="center"/>
              <w:rPr>
                <w:rFonts w:ascii="宋体" w:hAnsi="宋体" w:eastAsia="仿宋" w:cs="仿宋"/>
                <w:kern w:val="0"/>
                <w:sz w:val="28"/>
                <w:szCs w:val="28"/>
              </w:rPr>
            </w:pPr>
          </w:p>
        </w:tc>
        <w:tc>
          <w:tcPr>
            <w:tcW w:w="1650"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检查时间</w:t>
            </w:r>
          </w:p>
        </w:tc>
        <w:tc>
          <w:tcPr>
            <w:tcW w:w="2606" w:type="dxa"/>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检查事项</w:t>
            </w:r>
          </w:p>
        </w:tc>
        <w:tc>
          <w:tcPr>
            <w:tcW w:w="6753"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检</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查</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情</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况</w:t>
            </w:r>
          </w:p>
        </w:tc>
        <w:tc>
          <w:tcPr>
            <w:tcW w:w="6753"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存</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在</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问</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题</w:t>
            </w:r>
          </w:p>
        </w:tc>
        <w:tc>
          <w:tcPr>
            <w:tcW w:w="6753"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整</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改</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要</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求</w:t>
            </w:r>
          </w:p>
        </w:tc>
        <w:tc>
          <w:tcPr>
            <w:tcW w:w="6753"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检查人员</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签名</w:t>
            </w:r>
          </w:p>
        </w:tc>
        <w:tc>
          <w:tcPr>
            <w:tcW w:w="6753" w:type="dxa"/>
            <w:gridSpan w:val="3"/>
            <w:vAlign w:val="center"/>
          </w:tcPr>
          <w:p>
            <w:pPr>
              <w:spacing w:line="400" w:lineRule="exact"/>
              <w:jc w:val="center"/>
              <w:rPr>
                <w:rFonts w:ascii="宋体" w:hAnsi="宋体"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005" w:type="dxa"/>
            <w:vAlign w:val="center"/>
          </w:tcPr>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被检单位</w:t>
            </w:r>
          </w:p>
          <w:p>
            <w:pPr>
              <w:spacing w:line="400" w:lineRule="exact"/>
              <w:jc w:val="center"/>
              <w:rPr>
                <w:rFonts w:ascii="宋体" w:hAnsi="宋体" w:eastAsia="仿宋" w:cs="仿宋"/>
                <w:kern w:val="0"/>
                <w:sz w:val="28"/>
                <w:szCs w:val="28"/>
              </w:rPr>
            </w:pPr>
            <w:r>
              <w:rPr>
                <w:rFonts w:hint="eastAsia" w:ascii="宋体" w:hAnsi="宋体" w:eastAsia="仿宋" w:cs="仿宋"/>
                <w:kern w:val="0"/>
                <w:sz w:val="28"/>
                <w:szCs w:val="28"/>
              </w:rPr>
              <w:t>负责人签名</w:t>
            </w:r>
          </w:p>
        </w:tc>
        <w:tc>
          <w:tcPr>
            <w:tcW w:w="6753" w:type="dxa"/>
            <w:gridSpan w:val="3"/>
            <w:vAlign w:val="center"/>
          </w:tcPr>
          <w:p>
            <w:pPr>
              <w:spacing w:line="400" w:lineRule="exact"/>
              <w:jc w:val="center"/>
              <w:rPr>
                <w:rFonts w:ascii="宋体" w:hAnsi="宋体" w:eastAsia="仿宋" w:cs="仿宋"/>
                <w:kern w:val="0"/>
                <w:sz w:val="28"/>
                <w:szCs w:val="28"/>
              </w:rPr>
            </w:pPr>
          </w:p>
        </w:tc>
      </w:tr>
    </w:tbl>
    <w:p>
      <w:pPr>
        <w:rPr>
          <w:rFonts w:hint="eastAsia" w:ascii="宋体" w:hAnsi="宋体" w:eastAsia="仿宋_GB2312" w:cs="Tahoma"/>
          <w:color w:val="000000"/>
          <w:kern w:val="0"/>
          <w:sz w:val="28"/>
          <w:szCs w:val="28"/>
          <w:lang w:val="en-US" w:eastAsia="zh-CN"/>
        </w:rPr>
      </w:pPr>
    </w:p>
    <w:p>
      <w:pPr>
        <w:ind w:firstLine="320" w:firstLineChars="100"/>
        <w:rPr>
          <w:rFonts w:ascii="仿宋" w:hAnsi="仿宋" w:eastAsia="仿宋" w:cs="仿宋"/>
          <w:sz w:val="28"/>
          <w:szCs w:val="28"/>
        </w:rPr>
      </w:pPr>
      <w:r>
        <w:rPr>
          <w:rFonts w:ascii="宋体" w:hAnsi="宋体"/>
          <w:sz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837565</wp:posOffset>
                </wp:positionV>
                <wp:extent cx="762000" cy="635"/>
                <wp:effectExtent l="12700" t="12700" r="25400" b="15240"/>
                <wp:wrapNone/>
                <wp:docPr id="6" name="矩形 6"/>
                <wp:cNvGraphicFramePr/>
                <a:graphic xmlns:a="http://schemas.openxmlformats.org/drawingml/2006/main">
                  <a:graphicData uri="http://schemas.microsoft.com/office/word/2010/wordprocessingShape">
                    <wps:wsp>
                      <wps:cNvSpPr/>
                      <wps:spPr>
                        <a:xfrm>
                          <a:off x="1058545" y="9686290"/>
                          <a:ext cx="762000" cy="296545"/>
                        </a:xfrm>
                        <a:prstGeom prst="rect">
                          <a:avLst/>
                        </a:prstGeom>
                        <a:solidFill>
                          <a:srgbClr val="FFFFFF"/>
                        </a:solidFill>
                        <a:ln w="25400" cap="flat" cmpd="sng" algn="ctr">
                          <a:solidFill>
                            <a:srgbClr val="FFFFFF"/>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65.95pt;height:0.05pt;width:60pt;z-index:251660288;v-text-anchor:middle;mso-width-relative:page;mso-height-relative:page;" fillcolor="#FFFFFF" filled="t" stroked="t" coordsize="21600,21600" o:gfxdata="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L1JL1gAA&#10;AAcBAAAPAAAAAAAAAAEAIAAAACIAAABkcnMvZG93bnJldi54bWxQSwECFAAUAAAACACHTuJAvlDN&#10;A1kCAACzBAAADgAAAAAAAAABACAAAAAlAQAAZHJzL2Uyb0RvYy54bWxQSwUGAAAAAAYABgBZAQAA&#10;8AUAAAAA&#10;">
                <v:fill on="t" focussize="0,0"/>
                <v:stroke weight="2pt" color="#FFFFFF" joinstyle="round"/>
                <v:imagedata o:title=""/>
                <o:lock v:ext="edit" aspectratio="f"/>
                <v:textbox>
                  <w:txbxContent>
                    <w:p/>
                  </w:txbxContent>
                </v:textbox>
              </v:rect>
            </w:pict>
          </mc:Fallback>
        </mc:AlternateContent>
      </w:r>
      <w:r>
        <w:rPr>
          <w:rFonts w:ascii="宋体" w:hAnsi="宋体"/>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18415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15pt;margin-top:1.45pt;height:0.05pt;width:442.2pt;z-index:251659264;mso-width-relative:page;mso-height-relative:page;" filled="f" stroked="t" coordsize="21600,21600" o:gfxdata="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dU8d1QAAAAUB&#10;AAAPAAAAAAAAAAEAIAAAACIAAABkcnMvZG93bnJldi54bWxQSwECFAAUAAAACACHTuJA7qbjneUB&#10;AACxAwAADgAAAAAAAAABACAAAAAkAQAAZHJzL2Uyb0RvYy54bWxQSwUGAAAAAAYABgBZAQAAewUA&#10;AAAA&#10;">
                <v:fill on="f" focussize="0,0"/>
                <v:stroke weight="1pt" color="#000000" joinstyle="miter"/>
                <v:imagedata o:title=""/>
                <o:lock v:ext="edit" aspectratio="f"/>
              </v:line>
            </w:pict>
          </mc:Fallback>
        </mc:AlternateContent>
      </w:r>
      <w:r>
        <w:rPr>
          <w:rFonts w:ascii="宋体" w:hAnsi="宋体" w:eastAsia="仿宋_GB2312"/>
          <w:sz w:val="28"/>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396240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31.2pt;height:0pt;width:441pt;z-index:251658240;mso-width-relative:page;mso-height-relative:page;" filled="f" stroked="t" coordsize="21600,21600" o:gfxdata="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aySB1AAAAAcBAAAPAAAAAAAA&#10;AAEAIAAAACIAAABkcnMvZG93bnJldi54bWxQSwECFAAUAAAACACHTuJASfdo0t0BAAClAwAADgAA&#10;AAAAAAABACAAAAAjAQAAZHJzL2Uyb0RvYy54bWxQSwUGAAAAAAYABgBZAQAAcgUAAAAA&#10;">
                <v:fill on="f" focussize="0,0"/>
                <v:stroke weight="1pt" color="#000000" joinstyle="round"/>
                <v:imagedata o:title=""/>
                <o:lock v:ext="edit" aspectratio="f"/>
              </v:line>
            </w:pict>
          </mc:Fallback>
        </mc:AlternateContent>
      </w:r>
      <w:r>
        <w:rPr>
          <w:rFonts w:hint="eastAsia" w:ascii="宋体" w:hAnsi="宋体" w:eastAsia="仿宋_GB2312" w:cs="Tahoma"/>
          <w:color w:val="000000"/>
          <w:kern w:val="0"/>
          <w:sz w:val="28"/>
          <w:szCs w:val="28"/>
          <w:lang w:val="en-US" w:eastAsia="zh-CN"/>
        </w:rPr>
        <w:t>济源</w:t>
      </w:r>
      <w:r>
        <w:rPr>
          <w:rFonts w:hint="eastAsia" w:ascii="宋体" w:hAnsi="宋体" w:eastAsia="仿宋_GB2312" w:cs="仿宋_GB2312"/>
          <w:color w:val="000000"/>
          <w:kern w:val="0"/>
          <w:sz w:val="28"/>
          <w:szCs w:val="28"/>
          <w:lang w:val="en-US" w:eastAsia="zh-CN"/>
        </w:rPr>
        <w:t>市司法局办公室                       2020年10月20日印</w:t>
      </w:r>
    </w:p>
    <w:sectPr>
      <w:pgSz w:w="11906" w:h="16838"/>
      <w:pgMar w:top="1701" w:right="1587" w:bottom="1587" w:left="1587" w:header="851" w:footer="130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Theme="minorEastAsia"/>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gkcVC1AAAAAcBAAAPAAAAAAAA&#10;AAEAIAAAACIAAABkcnMvZG93bnJldi54bWxQSwECFAAUAAAACACHTuJA8832OcECAADWBQAADgAA&#10;AAAAAAABACAAAAAjAQAAZHJzL2Uyb0RvYy54bWxQSwUGAAAAAAYABgBZAQAAVgYAAAAA&#10;">
              <v:fill on="f" focussize="0,0"/>
              <v:stroke on="f" weight="0.5pt"/>
              <v:imagedata o:title=""/>
              <o:lock v:ext="edit" aspectratio="f"/>
              <v:textbox inset="0mm,0mm,0mm,0mm" style="mso-fit-shape-to-text:t;">
                <w:txbxContent>
                  <w:p>
                    <w:pPr>
                      <w:pStyle w:val="4"/>
                      <w:rPr>
                        <w:rFonts w:hint="default" w:eastAsiaTheme="minorEastAsia"/>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E907E"/>
    <w:multiLevelType w:val="singleLevel"/>
    <w:tmpl w:val="F40E907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45"/>
    <w:rsid w:val="000040C9"/>
    <w:rsid w:val="00043C08"/>
    <w:rsid w:val="000A34AA"/>
    <w:rsid w:val="000A593C"/>
    <w:rsid w:val="000B01CE"/>
    <w:rsid w:val="000E4E71"/>
    <w:rsid w:val="00141E80"/>
    <w:rsid w:val="001609BF"/>
    <w:rsid w:val="002B34F2"/>
    <w:rsid w:val="00321479"/>
    <w:rsid w:val="003D5121"/>
    <w:rsid w:val="003F0572"/>
    <w:rsid w:val="004200E4"/>
    <w:rsid w:val="004E0CAC"/>
    <w:rsid w:val="00560350"/>
    <w:rsid w:val="0056636D"/>
    <w:rsid w:val="006D2165"/>
    <w:rsid w:val="007375DF"/>
    <w:rsid w:val="007667B4"/>
    <w:rsid w:val="007B1B5A"/>
    <w:rsid w:val="008162B9"/>
    <w:rsid w:val="009B6645"/>
    <w:rsid w:val="00B51C57"/>
    <w:rsid w:val="00CD1B02"/>
    <w:rsid w:val="00CF29A4"/>
    <w:rsid w:val="00D7022D"/>
    <w:rsid w:val="00D954EF"/>
    <w:rsid w:val="00E04B6D"/>
    <w:rsid w:val="00E35917"/>
    <w:rsid w:val="00E379F5"/>
    <w:rsid w:val="00FF7826"/>
    <w:rsid w:val="01C55255"/>
    <w:rsid w:val="02E40F6A"/>
    <w:rsid w:val="03313EC0"/>
    <w:rsid w:val="03863F85"/>
    <w:rsid w:val="04BE4144"/>
    <w:rsid w:val="05FE61C4"/>
    <w:rsid w:val="079C4E00"/>
    <w:rsid w:val="08C82122"/>
    <w:rsid w:val="0B156AA4"/>
    <w:rsid w:val="0BAA5B18"/>
    <w:rsid w:val="0BCB0B2A"/>
    <w:rsid w:val="0C07486C"/>
    <w:rsid w:val="0E6A11E8"/>
    <w:rsid w:val="0EB52D11"/>
    <w:rsid w:val="0ED749C2"/>
    <w:rsid w:val="0F1A6B43"/>
    <w:rsid w:val="0F291E89"/>
    <w:rsid w:val="0F600030"/>
    <w:rsid w:val="11C26DFE"/>
    <w:rsid w:val="12963E74"/>
    <w:rsid w:val="151F375B"/>
    <w:rsid w:val="159210DC"/>
    <w:rsid w:val="17DE50C6"/>
    <w:rsid w:val="180352F7"/>
    <w:rsid w:val="18DA6F52"/>
    <w:rsid w:val="19885022"/>
    <w:rsid w:val="1BC10D24"/>
    <w:rsid w:val="1C430BDE"/>
    <w:rsid w:val="1CEA3999"/>
    <w:rsid w:val="1DD13BC1"/>
    <w:rsid w:val="1F304A40"/>
    <w:rsid w:val="1F943BDE"/>
    <w:rsid w:val="2188525A"/>
    <w:rsid w:val="21BD39DE"/>
    <w:rsid w:val="22121403"/>
    <w:rsid w:val="23AA6B6B"/>
    <w:rsid w:val="26365EDB"/>
    <w:rsid w:val="26FD4A20"/>
    <w:rsid w:val="27AB2555"/>
    <w:rsid w:val="28C10FA9"/>
    <w:rsid w:val="29B23205"/>
    <w:rsid w:val="29CC51B0"/>
    <w:rsid w:val="29D91E83"/>
    <w:rsid w:val="2A705E4E"/>
    <w:rsid w:val="2BB03A9A"/>
    <w:rsid w:val="2C733E69"/>
    <w:rsid w:val="2CC44DB2"/>
    <w:rsid w:val="2D194C80"/>
    <w:rsid w:val="2E1014A3"/>
    <w:rsid w:val="2E275444"/>
    <w:rsid w:val="2EC928C8"/>
    <w:rsid w:val="2FA51498"/>
    <w:rsid w:val="2FE20ABE"/>
    <w:rsid w:val="314D49A6"/>
    <w:rsid w:val="319C6BE0"/>
    <w:rsid w:val="31F77507"/>
    <w:rsid w:val="32165D5A"/>
    <w:rsid w:val="3244724D"/>
    <w:rsid w:val="32887540"/>
    <w:rsid w:val="32AF7641"/>
    <w:rsid w:val="366939DF"/>
    <w:rsid w:val="367C68A1"/>
    <w:rsid w:val="368837B2"/>
    <w:rsid w:val="37487677"/>
    <w:rsid w:val="378540B7"/>
    <w:rsid w:val="392A4C22"/>
    <w:rsid w:val="393D255C"/>
    <w:rsid w:val="39A71B0C"/>
    <w:rsid w:val="39E40B53"/>
    <w:rsid w:val="39E624F9"/>
    <w:rsid w:val="3ABE3F5A"/>
    <w:rsid w:val="3B4F5C74"/>
    <w:rsid w:val="3C3F1B0B"/>
    <w:rsid w:val="3D1F5D82"/>
    <w:rsid w:val="3E7F4506"/>
    <w:rsid w:val="3E907B3C"/>
    <w:rsid w:val="3F4C5CB1"/>
    <w:rsid w:val="3FBE6622"/>
    <w:rsid w:val="3FCA5B60"/>
    <w:rsid w:val="3FD11FAF"/>
    <w:rsid w:val="41BD0DB6"/>
    <w:rsid w:val="41CA2A49"/>
    <w:rsid w:val="41E1559D"/>
    <w:rsid w:val="435D61F1"/>
    <w:rsid w:val="44962ACF"/>
    <w:rsid w:val="44AF7EBB"/>
    <w:rsid w:val="45BE141E"/>
    <w:rsid w:val="45EA2FEC"/>
    <w:rsid w:val="46B72FE5"/>
    <w:rsid w:val="4770414F"/>
    <w:rsid w:val="49673015"/>
    <w:rsid w:val="4ADD442A"/>
    <w:rsid w:val="4BD92386"/>
    <w:rsid w:val="4CDB29CE"/>
    <w:rsid w:val="4DCE5252"/>
    <w:rsid w:val="4E747E10"/>
    <w:rsid w:val="4E943757"/>
    <w:rsid w:val="4F192F6B"/>
    <w:rsid w:val="4FBF0919"/>
    <w:rsid w:val="500751A6"/>
    <w:rsid w:val="50B97913"/>
    <w:rsid w:val="50F720A4"/>
    <w:rsid w:val="51B57FF2"/>
    <w:rsid w:val="53480D21"/>
    <w:rsid w:val="5457319F"/>
    <w:rsid w:val="54F132D8"/>
    <w:rsid w:val="55353BB4"/>
    <w:rsid w:val="564D680A"/>
    <w:rsid w:val="581766CC"/>
    <w:rsid w:val="59C37E73"/>
    <w:rsid w:val="59D36EE9"/>
    <w:rsid w:val="5A0F2E04"/>
    <w:rsid w:val="5AC34955"/>
    <w:rsid w:val="5BD757F4"/>
    <w:rsid w:val="5C3156B5"/>
    <w:rsid w:val="5C644DD3"/>
    <w:rsid w:val="5C7E4F4A"/>
    <w:rsid w:val="5D341DAE"/>
    <w:rsid w:val="5E360D31"/>
    <w:rsid w:val="5E937E00"/>
    <w:rsid w:val="5EA80B20"/>
    <w:rsid w:val="5EC231BF"/>
    <w:rsid w:val="5F7F55E0"/>
    <w:rsid w:val="601C7052"/>
    <w:rsid w:val="6065145D"/>
    <w:rsid w:val="60CF6980"/>
    <w:rsid w:val="60FB7B87"/>
    <w:rsid w:val="61530A89"/>
    <w:rsid w:val="620245E8"/>
    <w:rsid w:val="63D579CF"/>
    <w:rsid w:val="641E68EC"/>
    <w:rsid w:val="64465E73"/>
    <w:rsid w:val="64C87AB1"/>
    <w:rsid w:val="651E4E3D"/>
    <w:rsid w:val="65CD7180"/>
    <w:rsid w:val="66E309CD"/>
    <w:rsid w:val="672876F6"/>
    <w:rsid w:val="672A281E"/>
    <w:rsid w:val="684F341A"/>
    <w:rsid w:val="69053BDF"/>
    <w:rsid w:val="69B41C99"/>
    <w:rsid w:val="6BDF5191"/>
    <w:rsid w:val="6CA95610"/>
    <w:rsid w:val="6D953643"/>
    <w:rsid w:val="6DB61398"/>
    <w:rsid w:val="6DDD19A1"/>
    <w:rsid w:val="6E7156A0"/>
    <w:rsid w:val="6FD51563"/>
    <w:rsid w:val="70CE00B0"/>
    <w:rsid w:val="71191E48"/>
    <w:rsid w:val="71E84C07"/>
    <w:rsid w:val="72D3682B"/>
    <w:rsid w:val="734C6952"/>
    <w:rsid w:val="73CE66DC"/>
    <w:rsid w:val="74206B5B"/>
    <w:rsid w:val="74E12F0F"/>
    <w:rsid w:val="763C1F93"/>
    <w:rsid w:val="76701E8A"/>
    <w:rsid w:val="7718539E"/>
    <w:rsid w:val="77DD54CB"/>
    <w:rsid w:val="78C12BD2"/>
    <w:rsid w:val="7AEC0833"/>
    <w:rsid w:val="7B495A70"/>
    <w:rsid w:val="7B4E747A"/>
    <w:rsid w:val="7B613238"/>
    <w:rsid w:val="7CB6104B"/>
    <w:rsid w:val="7CD37FE9"/>
    <w:rsid w:val="7D04767D"/>
    <w:rsid w:val="7D5C2C1F"/>
    <w:rsid w:val="7D66753F"/>
    <w:rsid w:val="7D7B6A38"/>
    <w:rsid w:val="7D8B160C"/>
    <w:rsid w:val="7D953F52"/>
    <w:rsid w:val="7E502908"/>
    <w:rsid w:val="7F8B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0000FF"/>
      <w:u w:val="none"/>
    </w:rPr>
  </w:style>
  <w:style w:type="character" w:styleId="17">
    <w:name w:val="HTML Code"/>
    <w:basedOn w:val="9"/>
    <w:semiHidden/>
    <w:unhideWhenUsed/>
    <w:qFormat/>
    <w:uiPriority w:val="99"/>
    <w:rPr>
      <w:rFonts w:ascii="Courier New" w:hAnsi="Courier New"/>
      <w:color w:val="434242"/>
      <w:sz w:val="20"/>
      <w:u w:val="none"/>
    </w:rPr>
  </w:style>
  <w:style w:type="character" w:styleId="18">
    <w:name w:val="HTML Cite"/>
    <w:basedOn w:val="9"/>
    <w:semiHidden/>
    <w:unhideWhenUsed/>
    <w:qFormat/>
    <w:uiPriority w:val="99"/>
  </w:style>
  <w:style w:type="character" w:customStyle="1" w:styleId="19">
    <w:name w:val="页眉 Char"/>
    <w:basedOn w:val="9"/>
    <w:link w:val="5"/>
    <w:qFormat/>
    <w:uiPriority w:val="99"/>
    <w:rPr>
      <w:sz w:val="18"/>
      <w:szCs w:val="18"/>
    </w:rPr>
  </w:style>
  <w:style w:type="character" w:customStyle="1" w:styleId="20">
    <w:name w:val="页脚 Char"/>
    <w:basedOn w:val="9"/>
    <w:link w:val="4"/>
    <w:qFormat/>
    <w:uiPriority w:val="99"/>
    <w:rPr>
      <w:sz w:val="18"/>
      <w:szCs w:val="18"/>
    </w:rPr>
  </w:style>
  <w:style w:type="paragraph" w:customStyle="1" w:styleId="21">
    <w:name w:val="列出段落1"/>
    <w:basedOn w:val="1"/>
    <w:qFormat/>
    <w:uiPriority w:val="34"/>
    <w:pPr>
      <w:ind w:firstLine="420" w:firstLineChars="200"/>
    </w:pPr>
  </w:style>
  <w:style w:type="paragraph" w:styleId="22">
    <w:name w:val="List Paragraph"/>
    <w:basedOn w:val="1"/>
    <w:qFormat/>
    <w:uiPriority w:val="34"/>
    <w:pPr>
      <w:ind w:firstLine="420" w:firstLineChars="200"/>
    </w:pPr>
  </w:style>
  <w:style w:type="character" w:customStyle="1" w:styleId="23">
    <w:name w:val="批注框文本 Char"/>
    <w:basedOn w:val="9"/>
    <w:link w:val="3"/>
    <w:semiHidden/>
    <w:qFormat/>
    <w:uiPriority w:val="99"/>
    <w:rPr>
      <w:sz w:val="18"/>
      <w:szCs w:val="18"/>
    </w:rPr>
  </w:style>
  <w:style w:type="character" w:customStyle="1" w:styleId="24">
    <w:name w:val="layui-layer-tabnow"/>
    <w:basedOn w:val="9"/>
    <w:qFormat/>
    <w:uiPriority w:val="0"/>
    <w:rPr>
      <w:bdr w:val="single" w:color="CCCCCC" w:sz="6" w:space="0"/>
      <w:shd w:val="clear" w:fill="FFFFFF"/>
    </w:rPr>
  </w:style>
  <w:style w:type="character" w:customStyle="1" w:styleId="25">
    <w:name w:val="first-child"/>
    <w:basedOn w:val="9"/>
    <w:qFormat/>
    <w:uiPriority w:val="0"/>
  </w:style>
  <w:style w:type="character" w:customStyle="1" w:styleId="26">
    <w:name w:val="first-child1"/>
    <w:basedOn w:val="9"/>
    <w:qFormat/>
    <w:uiPriority w:val="0"/>
  </w:style>
  <w:style w:type="paragraph" w:customStyle="1" w:styleId="27">
    <w:name w:val="无间隔1"/>
    <w:qFormat/>
    <w:uiPriority w:val="1"/>
    <w:pPr>
      <w:widowControl w:val="0"/>
      <w:jc w:val="both"/>
    </w:pPr>
    <w:rPr>
      <w:rFonts w:ascii="Times New Roman" w:hAnsi="Times New Roman" w:eastAsia="宋体" w:cs="宋体"/>
      <w:kern w:val="2"/>
      <w:sz w:val="21"/>
      <w:szCs w:val="21"/>
      <w:lang w:val="en-US" w:eastAsia="zh-CN" w:bidi="ar-SA"/>
    </w:rPr>
  </w:style>
  <w:style w:type="paragraph" w:customStyle="1" w:styleId="28">
    <w:name w:val="无间隔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10681-3209-43AB-A484-F9769388CE87}">
  <ds:schemaRefs/>
</ds:datastoreItem>
</file>

<file path=docProps/app.xml><?xml version="1.0" encoding="utf-8"?>
<Properties xmlns="http://schemas.openxmlformats.org/officeDocument/2006/extended-properties" xmlns:vt="http://schemas.openxmlformats.org/officeDocument/2006/docPropsVTypes">
  <Template>Normal</Template>
  <Pages>1</Pages>
  <Words>200</Words>
  <Characters>1146</Characters>
  <Lines>9</Lines>
  <Paragraphs>2</Paragraphs>
  <TotalTime>70</TotalTime>
  <ScaleCrop>false</ScaleCrop>
  <LinksUpToDate>false</LinksUpToDate>
  <CharactersWithSpaces>1344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2019-08-13T00:15:00Z</dcterms:created>
  <dc:creator>jysf</dc:creator>
  <cp:lastModifiedBy>Sally</cp:lastModifiedBy>
  <cp:lastPrinted>2020-10-21T09:02:46Z</cp:lastPrinted>
  <dcterms:modified xsi:type="dcterms:W3CDTF">2020-10-21T09:05:36Z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