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8D0591" w:rsidRPr="008D0591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河南宝视达视觉健康科技有限公司济源店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 w:rsidRPr="00C80D63">
        <w:rPr>
          <w:rFonts w:ascii="宋体" w:eastAsia="宋体" w:cs="宋体" w:hint="eastAsia"/>
          <w:kern w:val="0"/>
          <w:sz w:val="36"/>
          <w:szCs w:val="36"/>
        </w:rPr>
        <w:t>（</w:t>
      </w:r>
      <w:r w:rsidRPr="00C80D63">
        <w:rPr>
          <w:rFonts w:ascii="宋体" w:eastAsia="宋体" w:cs="宋体"/>
          <w:kern w:val="0"/>
          <w:sz w:val="36"/>
          <w:szCs w:val="36"/>
        </w:rPr>
        <w:t>202</w:t>
      </w:r>
      <w:r w:rsidR="00FE2C63" w:rsidRPr="00C80D63">
        <w:rPr>
          <w:rFonts w:ascii="宋体" w:eastAsia="宋体" w:cs="宋体" w:hint="eastAsia"/>
          <w:kern w:val="0"/>
          <w:sz w:val="36"/>
          <w:szCs w:val="36"/>
        </w:rPr>
        <w:t>5</w:t>
      </w:r>
      <w:r w:rsidRPr="00C80D63">
        <w:rPr>
          <w:rFonts w:ascii="宋体" w:eastAsia="宋体" w:cs="宋体" w:hint="eastAsia"/>
          <w:kern w:val="0"/>
          <w:sz w:val="36"/>
          <w:szCs w:val="36"/>
        </w:rPr>
        <w:t>年第</w:t>
      </w:r>
      <w:r w:rsidR="00CB26ED">
        <w:rPr>
          <w:rFonts w:ascii="宋体" w:eastAsia="宋体" w:cs="宋体" w:hint="eastAsia"/>
          <w:kern w:val="0"/>
          <w:sz w:val="36"/>
          <w:szCs w:val="36"/>
        </w:rPr>
        <w:t>4</w:t>
      </w:r>
      <w:r w:rsidR="008D0591">
        <w:rPr>
          <w:rFonts w:ascii="宋体" w:eastAsia="宋体" w:cs="宋体" w:hint="eastAsia"/>
          <w:kern w:val="0"/>
          <w:sz w:val="36"/>
          <w:szCs w:val="36"/>
        </w:rPr>
        <w:t>2</w:t>
      </w:r>
      <w:r w:rsidR="00BD11AE" w:rsidRPr="00C80D63">
        <w:rPr>
          <w:rFonts w:ascii="宋体" w:eastAsia="宋体" w:cs="宋体" w:hint="eastAsia"/>
          <w:kern w:val="0"/>
          <w:sz w:val="36"/>
          <w:szCs w:val="36"/>
        </w:rPr>
        <w:t>号）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8D0591" w:rsidRPr="008D0591">
        <w:rPr>
          <w:rFonts w:asciiTheme="minorEastAsia" w:hAnsiTheme="minorEastAsia" w:hint="eastAsia"/>
          <w:kern w:val="0"/>
          <w:sz w:val="30"/>
          <w:szCs w:val="30"/>
        </w:rPr>
        <w:t>河南宝视达视觉健康科技有限公司济源店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202</w:t>
      </w:r>
      <w:r w:rsidR="00FE2C63" w:rsidRPr="00C80D63">
        <w:rPr>
          <w:rFonts w:asciiTheme="minorEastAsia" w:hAnsiTheme="minorEastAsia" w:hint="eastAsia"/>
          <w:kern w:val="0"/>
          <w:sz w:val="32"/>
          <w:szCs w:val="32"/>
        </w:rPr>
        <w:t>5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8D0591">
        <w:rPr>
          <w:rFonts w:asciiTheme="minorEastAsia" w:hAnsiTheme="minorEastAsia" w:hint="eastAsia"/>
          <w:kern w:val="0"/>
          <w:sz w:val="32"/>
          <w:szCs w:val="32"/>
        </w:rPr>
        <w:t>8</w:t>
      </w:r>
      <w:r w:rsidRPr="00C80D63"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8D0591">
        <w:rPr>
          <w:rFonts w:asciiTheme="minorEastAsia" w:hAnsiTheme="minorEastAsia" w:hint="eastAsia"/>
          <w:kern w:val="0"/>
          <w:sz w:val="32"/>
          <w:szCs w:val="32"/>
        </w:rPr>
        <w:t>11</w:t>
      </w:r>
      <w:r w:rsidR="00BD11AE" w:rsidRPr="00C80D63"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8D0591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8D0591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河南宝视达视觉健康科技有限公司济源店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A76C8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企业负责人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524D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5524D2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王倩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CB26ED" w:rsidTr="00B304E7">
        <w:trPr>
          <w:trHeight w:val="457"/>
        </w:trPr>
        <w:tc>
          <w:tcPr>
            <w:tcW w:w="1587" w:type="dxa"/>
          </w:tcPr>
          <w:p w:rsidR="00CB26ED" w:rsidRDefault="00CB26ED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491827" w:rsidRDefault="005524D2" w:rsidP="007D79A6">
            <w:pPr>
              <w:jc w:val="center"/>
              <w:rPr>
                <w:sz w:val="24"/>
                <w:szCs w:val="24"/>
              </w:rPr>
            </w:pPr>
            <w:r w:rsidRPr="005524D2">
              <w:rPr>
                <w:rFonts w:hint="eastAsia"/>
                <w:sz w:val="24"/>
                <w:szCs w:val="24"/>
              </w:rPr>
              <w:t>河南省济源市宣化街东段</w:t>
            </w:r>
            <w:r w:rsidRPr="005524D2">
              <w:rPr>
                <w:sz w:val="24"/>
                <w:szCs w:val="24"/>
              </w:rPr>
              <w:t>68</w:t>
            </w:r>
            <w:r w:rsidRPr="005524D2">
              <w:rPr>
                <w:sz w:val="24"/>
                <w:szCs w:val="24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CB26ED" w:rsidTr="00B304E7">
        <w:trPr>
          <w:trHeight w:val="549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491827" w:rsidRDefault="00CB26ED" w:rsidP="007D7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bookmarkStart w:id="0" w:name="_GoBack"/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CB26ED" w:rsidTr="00CF6A6D">
        <w:trPr>
          <w:trHeight w:val="381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Pr="00303F8B" w:rsidRDefault="00CB26ED" w:rsidP="00693504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CB26ED" w:rsidTr="003D3E3E">
        <w:trPr>
          <w:trHeight w:val="554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CB26ED" w:rsidRDefault="00CB26ED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CB26ED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5524D2" w:rsidRDefault="00CB26ED" w:rsidP="00BA76C8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</w:t>
            </w:r>
            <w:bookmarkStart w:id="1" w:name="OLE_LINK1"/>
            <w:bookmarkStart w:id="2" w:name="OLE_LINK2"/>
            <w:r w:rsidR="00BA76C8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bookmarkEnd w:id="1"/>
            <w:bookmarkEnd w:id="2"/>
            <w:r w:rsidR="005524D2" w:rsidRPr="005524D2">
              <w:rPr>
                <w:rFonts w:ascii="宋体" w:hAnsi="宋体"/>
                <w:sz w:val="24"/>
                <w:szCs w:val="24"/>
                <w:lang w:eastAsia="zh-CN"/>
              </w:rPr>
              <w:t>6822-1医用光学器具、仪器及内窥镜设备</w:t>
            </w:r>
            <w:r w:rsidR="005524D2">
              <w:rPr>
                <w:rFonts w:ascii="宋体" w:hAnsi="宋体" w:hint="eastAsia"/>
                <w:sz w:val="24"/>
                <w:szCs w:val="24"/>
                <w:lang w:eastAsia="zh-CN"/>
              </w:rPr>
              <w:t>.</w:t>
            </w:r>
          </w:p>
          <w:p w:rsidR="00BA76C8" w:rsidRDefault="00CB26ED" w:rsidP="00BA76C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</w:t>
            </w:r>
            <w:r w:rsidR="005524D2" w:rsidRPr="00BA76C8">
              <w:rPr>
                <w:rFonts w:ascii="宋体" w:hAnsi="宋体" w:hint="eastAsia"/>
                <w:sz w:val="24"/>
                <w:szCs w:val="24"/>
                <w:lang w:eastAsia="zh-CN"/>
              </w:rPr>
              <w:t>第三类：</w:t>
            </w:r>
            <w:r w:rsidR="005524D2" w:rsidRPr="005524D2">
              <w:rPr>
                <w:rFonts w:ascii="宋体" w:hAnsi="宋体"/>
                <w:sz w:val="24"/>
                <w:szCs w:val="24"/>
                <w:lang w:eastAsia="zh-CN"/>
              </w:rPr>
              <w:t>16眼科器械</w:t>
            </w:r>
            <w:r w:rsidR="005524D2">
              <w:rPr>
                <w:rFonts w:ascii="宋体" w:hAnsi="宋体"/>
                <w:sz w:val="24"/>
                <w:szCs w:val="24"/>
                <w:lang w:eastAsia="zh-CN"/>
              </w:rPr>
              <w:t xml:space="preserve"> </w:t>
            </w:r>
          </w:p>
          <w:p w:rsidR="00CB26ED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B26ED" w:rsidRPr="00303F8B" w:rsidRDefault="00CB26ED" w:rsidP="00C80D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CB26ED" w:rsidTr="00303F8B">
        <w:trPr>
          <w:trHeight w:val="416"/>
        </w:trPr>
        <w:tc>
          <w:tcPr>
            <w:tcW w:w="1587" w:type="dxa"/>
          </w:tcPr>
          <w:p w:rsidR="00CB26ED" w:rsidRDefault="00CB26ED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303F8B" w:rsidRDefault="005524D2" w:rsidP="005524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524D2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豫济药监械经营许</w:t>
            </w:r>
            <w:r w:rsidRPr="005524D2">
              <w:rPr>
                <w:rFonts w:ascii="宋体" w:hAnsi="宋体"/>
                <w:sz w:val="24"/>
                <w:szCs w:val="24"/>
                <w:lang w:eastAsia="zh-CN"/>
              </w:rPr>
              <w:t>20230052号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CB26ED" w:rsidTr="005D0CFD">
        <w:trPr>
          <w:trHeight w:val="389"/>
        </w:trPr>
        <w:tc>
          <w:tcPr>
            <w:tcW w:w="1587" w:type="dxa"/>
          </w:tcPr>
          <w:p w:rsidR="00CB26ED" w:rsidRDefault="00CB26ED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lastRenderedPageBreak/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CB26ED" w:rsidRPr="00303F8B" w:rsidRDefault="00CB26ED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入驻类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CB26ED" w:rsidTr="00153BA7">
        <w:trPr>
          <w:trHeight w:val="4211"/>
        </w:trPr>
        <w:tc>
          <w:tcPr>
            <w:tcW w:w="1587" w:type="dxa"/>
            <w:vAlign w:val="center"/>
          </w:tcPr>
          <w:p w:rsidR="00CB26ED" w:rsidRDefault="00CB26ED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53BA7" w:rsidRDefault="00153BA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浙江天猫网络有限公司</w:t>
            </w: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上海得物信息集团有限公司</w:t>
            </w: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行吟信息科技（上海）有限公司</w:t>
            </w: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成都快购科技有限公司</w:t>
            </w: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深圳市云网万店电子商务有限公司</w:t>
            </w:r>
          </w:p>
          <w:p w:rsidR="00CB26ED" w:rsidRPr="00403881" w:rsidRDefault="00BA76C8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BA76C8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北京三快科技有限公司</w:t>
            </w:r>
          </w:p>
          <w:p w:rsidR="002D7F90" w:rsidRPr="00403881" w:rsidRDefault="002D7F90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Pr="00303F8B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CB26ED" w:rsidRPr="008D6AD9" w:rsidTr="00153BA7">
        <w:trPr>
          <w:trHeight w:val="4100"/>
        </w:trPr>
        <w:tc>
          <w:tcPr>
            <w:tcW w:w="1587" w:type="dxa"/>
            <w:vAlign w:val="center"/>
          </w:tcPr>
          <w:p w:rsidR="00CB26ED" w:rsidRPr="008D6AD9" w:rsidRDefault="00CB26ED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2D7F90" w:rsidRPr="00403881" w:rsidRDefault="002D7F90" w:rsidP="00ED6F44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(浙）网械平台备字[2018]第00002号</w:t>
            </w:r>
          </w:p>
          <w:p w:rsidR="00403881" w:rsidRPr="00403881" w:rsidRDefault="002D7F90" w:rsidP="00ED6F44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(京)网械平台备字(2023)第00013号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（沪）网械平台备字[2022]第00002号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（沪）网械平台备字[2021]号第00003号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（沪）网械平台备字[2019]第00006号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（川）网械平台备字〔2021〕第00002号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（沪）网械平台备字[2018]第00003号</w:t>
            </w:r>
          </w:p>
          <w:p w:rsidR="00403881" w:rsidRPr="00403881" w:rsidRDefault="00403881" w:rsidP="00ED6F44">
            <w:pPr>
              <w:ind w:firstLineChars="200" w:firstLine="48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（粤）网械平台备字〔2023〕第00012号</w:t>
            </w:r>
          </w:p>
          <w:p w:rsidR="00CB26ED" w:rsidRPr="00403881" w:rsidRDefault="00BA76C8" w:rsidP="00ED6F44">
            <w:pPr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 w:cs="宋体"/>
                <w:color w:val="000000"/>
                <w:sz w:val="24"/>
                <w:szCs w:val="24"/>
              </w:rPr>
              <w:t>（沪）网械平台备字[2018]第00004号</w:t>
            </w:r>
          </w:p>
          <w:p w:rsidR="00BA76C8" w:rsidRPr="00403881" w:rsidRDefault="002D7F90" w:rsidP="00ED6F44">
            <w:pPr>
              <w:ind w:firstLineChars="200" w:firstLine="48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（京）网械平台备字（2018）第00004号</w:t>
            </w:r>
          </w:p>
          <w:p w:rsidR="002D7F90" w:rsidRPr="00403881" w:rsidRDefault="002D7F90" w:rsidP="00ED6F4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403881">
              <w:rPr>
                <w:rFonts w:ascii="宋体" w:hAnsi="宋体"/>
                <w:color w:val="000000"/>
                <w:sz w:val="24"/>
                <w:szCs w:val="24"/>
              </w:rPr>
              <w:t>（沪）网械平台备字[2018]第00002号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CB26ED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CB26ED" w:rsidRPr="008D6AD9" w:rsidRDefault="00CB26ED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1E" w:rsidRDefault="0097671E" w:rsidP="00A33956">
      <w:r>
        <w:separator/>
      </w:r>
    </w:p>
  </w:endnote>
  <w:endnote w:type="continuationSeparator" w:id="0">
    <w:p w:rsidR="0097671E" w:rsidRDefault="0097671E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1E" w:rsidRDefault="0097671E" w:rsidP="00A33956">
      <w:r>
        <w:separator/>
      </w:r>
    </w:p>
  </w:footnote>
  <w:footnote w:type="continuationSeparator" w:id="0">
    <w:p w:rsidR="0097671E" w:rsidRDefault="0097671E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4B4D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B3944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3BA7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D7F90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03881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182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24D2"/>
    <w:rsid w:val="00555549"/>
    <w:rsid w:val="005600FE"/>
    <w:rsid w:val="00566262"/>
    <w:rsid w:val="00570200"/>
    <w:rsid w:val="00572F48"/>
    <w:rsid w:val="005916A0"/>
    <w:rsid w:val="005A510A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21DB"/>
    <w:rsid w:val="00664EF1"/>
    <w:rsid w:val="00666041"/>
    <w:rsid w:val="00675171"/>
    <w:rsid w:val="00686EC3"/>
    <w:rsid w:val="00693504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17FD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0591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71E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9F4C4A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A76C8"/>
    <w:rsid w:val="00BB24C9"/>
    <w:rsid w:val="00BB275F"/>
    <w:rsid w:val="00BC708E"/>
    <w:rsid w:val="00BC7AD0"/>
    <w:rsid w:val="00BD11AE"/>
    <w:rsid w:val="00BD1959"/>
    <w:rsid w:val="00BD3A5D"/>
    <w:rsid w:val="00BD4620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549D2"/>
    <w:rsid w:val="00C62999"/>
    <w:rsid w:val="00C63236"/>
    <w:rsid w:val="00C80D63"/>
    <w:rsid w:val="00C8425E"/>
    <w:rsid w:val="00C86ED4"/>
    <w:rsid w:val="00C97980"/>
    <w:rsid w:val="00CA38DA"/>
    <w:rsid w:val="00CA6993"/>
    <w:rsid w:val="00CB025B"/>
    <w:rsid w:val="00CB26ED"/>
    <w:rsid w:val="00CC4197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19E8"/>
    <w:rsid w:val="00DE4D38"/>
    <w:rsid w:val="00DE760B"/>
    <w:rsid w:val="00DF4052"/>
    <w:rsid w:val="00E07480"/>
    <w:rsid w:val="00E119D2"/>
    <w:rsid w:val="00E16314"/>
    <w:rsid w:val="00E21757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7EC"/>
    <w:rsid w:val="00EB6A88"/>
    <w:rsid w:val="00EB7534"/>
    <w:rsid w:val="00ED20DD"/>
    <w:rsid w:val="00ED6F44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48F0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8</cp:revision>
  <dcterms:created xsi:type="dcterms:W3CDTF">2025-08-11T02:45:00Z</dcterms:created>
  <dcterms:modified xsi:type="dcterms:W3CDTF">2025-08-11T03:20:00Z</dcterms:modified>
</cp:coreProperties>
</file>