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CB26ED" w:rsidRPr="00CB26ED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河南德信行大药房有限公司北海路旗舰店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B26ED">
        <w:rPr>
          <w:rFonts w:ascii="宋体" w:eastAsia="宋体" w:cs="宋体" w:hint="eastAsia"/>
          <w:kern w:val="0"/>
          <w:sz w:val="36"/>
          <w:szCs w:val="36"/>
        </w:rPr>
        <w:t>41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号）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CB26ED" w:rsidRPr="00CB26ED">
        <w:rPr>
          <w:rFonts w:asciiTheme="minorEastAsia" w:hAnsiTheme="minorEastAsia" w:hint="eastAsia"/>
          <w:kern w:val="0"/>
          <w:sz w:val="30"/>
          <w:szCs w:val="30"/>
        </w:rPr>
        <w:t>河南德信行大药房有限公司北海路旗舰店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BA76C8">
        <w:rPr>
          <w:rFonts w:asciiTheme="minorEastAsia" w:hAnsiTheme="minorEastAsia" w:hint="eastAsia"/>
          <w:kern w:val="0"/>
          <w:sz w:val="32"/>
          <w:szCs w:val="32"/>
        </w:rPr>
        <w:t>7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BA76C8">
        <w:rPr>
          <w:rFonts w:asciiTheme="minorEastAsia" w:hAnsiTheme="minorEastAsia" w:hint="eastAsia"/>
          <w:kern w:val="0"/>
          <w:sz w:val="32"/>
          <w:szCs w:val="32"/>
        </w:rPr>
        <w:t>2</w:t>
      </w:r>
      <w:r w:rsidR="00FC48F0">
        <w:rPr>
          <w:rFonts w:asciiTheme="minorEastAsia" w:hAnsiTheme="minorEastAsia" w:hint="eastAsia"/>
          <w:kern w:val="0"/>
          <w:sz w:val="32"/>
          <w:szCs w:val="32"/>
        </w:rPr>
        <w:t>9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CB26ED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CB26ED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河南德信行大药房有限公司北海路旗舰店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A76C8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A76C8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A76C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李丽华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CB26ED" w:rsidTr="00B304E7">
        <w:trPr>
          <w:trHeight w:val="457"/>
        </w:trPr>
        <w:tc>
          <w:tcPr>
            <w:tcW w:w="1587" w:type="dxa"/>
          </w:tcPr>
          <w:p w:rsidR="00CB26ED" w:rsidRDefault="00CB26ED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CB26ED" w:rsidP="007D79A6">
            <w:pPr>
              <w:jc w:val="center"/>
              <w:rPr>
                <w:sz w:val="24"/>
                <w:szCs w:val="24"/>
              </w:rPr>
            </w:pPr>
            <w:r w:rsidRPr="00CB26ED">
              <w:rPr>
                <w:rFonts w:hint="eastAsia"/>
                <w:sz w:val="24"/>
                <w:szCs w:val="24"/>
              </w:rPr>
              <w:t>济源市北海中路</w:t>
            </w:r>
            <w:r w:rsidRPr="00CB26ED">
              <w:rPr>
                <w:sz w:val="24"/>
                <w:szCs w:val="24"/>
              </w:rPr>
              <w:t>851</w:t>
            </w:r>
            <w:r w:rsidRPr="00CB26ED">
              <w:rPr>
                <w:sz w:val="24"/>
                <w:szCs w:val="24"/>
              </w:rPr>
              <w:t>号桃园花都一号楼临北海路一楼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B304E7">
        <w:trPr>
          <w:trHeight w:val="54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CB26ED" w:rsidP="007D7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CF6A6D">
        <w:trPr>
          <w:trHeight w:val="381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Pr="00303F8B" w:rsidRDefault="00CB26ED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CB26ED" w:rsidTr="003D3E3E">
        <w:trPr>
          <w:trHeight w:val="554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BA76C8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原分类目录：第二类：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6803神经外科手术器械，6804眼科手术器械，6807胸腔心血管外科手术器械，6809泌尿肛肠外科手术器械，6810矫形外科（骨科）手术器械，6812妇产科用手术器械，6815注射穿刺器械，6820普通诊察器械，6821医用电子仪器设备，6823医用超声仪器及有关设备，6824医用激光仪器设备，6825医用高频仪器设备，6826物理治疗及康复设备，6827中医器械，6830医用X射线设备，6831医用X射线附属设备及部件，6833医用核素设备，6840临床检验分析仪器及诊断试剂（</w:t>
            </w:r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诊断试剂不需低温冷藏运输贮存），</w:t>
            </w:r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lastRenderedPageBreak/>
              <w:t>仅限排卵试纸，早早孕试纸，血糖试纸。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  <w:r w:rsidR="000B3944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6815注射穿刺器械，6866医用高分子材料及制品</w:t>
            </w:r>
          </w:p>
          <w:p w:rsidR="00BA76C8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Pr="00C80D63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 w:rsidR="000B3944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14注输、护理和防护器械</w:t>
            </w:r>
          </w:p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303F8B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303F8B">
        <w:trPr>
          <w:trHeight w:val="416"/>
        </w:trPr>
        <w:tc>
          <w:tcPr>
            <w:tcW w:w="1587" w:type="dxa"/>
          </w:tcPr>
          <w:p w:rsidR="00CB26ED" w:rsidRDefault="00CB26ED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A76C8" w:rsidRDefault="00CB26ED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20180081号</w:t>
            </w:r>
          </w:p>
          <w:p w:rsidR="00CB26ED" w:rsidRPr="00303F8B" w:rsidRDefault="00CB26ED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豫济药监械经营许</w:t>
            </w:r>
            <w:r w:rsidR="00BA76C8" w:rsidRPr="00BA76C8">
              <w:rPr>
                <w:rFonts w:ascii="宋体" w:hAnsi="宋体"/>
                <w:sz w:val="24"/>
                <w:szCs w:val="24"/>
                <w:lang w:eastAsia="zh-CN"/>
              </w:rPr>
              <w:t>20210024号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5D0CFD">
        <w:trPr>
          <w:trHeight w:val="38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CB26ED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入驻类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CB26ED" w:rsidTr="00693504">
        <w:trPr>
          <w:trHeight w:val="1943"/>
        </w:trPr>
        <w:tc>
          <w:tcPr>
            <w:tcW w:w="1587" w:type="dxa"/>
            <w:vAlign w:val="center"/>
          </w:tcPr>
          <w:p w:rsidR="00CB26ED" w:rsidRDefault="00CB26ED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Default="00CB26ED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</w:pPr>
          </w:p>
          <w:p w:rsidR="00CB26ED" w:rsidRDefault="00BA76C8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  <w:lang w:eastAsia="zh-CN"/>
              </w:rPr>
            </w:pPr>
            <w:r w:rsidRPr="00BA76C8"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BA76C8" w:rsidRDefault="00BA76C8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BA76C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华润润曜健康科技（北京）有限公司</w:t>
            </w:r>
          </w:p>
          <w:p w:rsidR="00BA76C8" w:rsidRPr="00693504" w:rsidRDefault="00BA76C8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BA76C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Pr="00303F8B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CB26ED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CB26ED" w:rsidRPr="008D6AD9" w:rsidRDefault="00CB26ED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Default="00BA76C8" w:rsidP="00BA76C8">
            <w:pPr>
              <w:ind w:firstLineChars="200" w:firstLine="480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  <w:r w:rsidRPr="00BA76C8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</w:t>
            </w:r>
            <w:r w:rsidRPr="00BA76C8">
              <w:rPr>
                <w:rFonts w:ascii="Helvetica" w:hAnsi="Helvetica" w:cs="宋体"/>
                <w:color w:val="000000"/>
                <w:sz w:val="24"/>
                <w:szCs w:val="24"/>
              </w:rPr>
              <w:t>[2018]</w:t>
            </w:r>
            <w:r w:rsidRPr="00BA76C8">
              <w:rPr>
                <w:rFonts w:ascii="Helvetica" w:hAnsi="Helvetica" w:cs="宋体"/>
                <w:color w:val="000000"/>
                <w:sz w:val="24"/>
                <w:szCs w:val="24"/>
              </w:rPr>
              <w:t>第</w:t>
            </w:r>
            <w:r w:rsidRPr="00BA76C8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BA76C8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BA76C8" w:rsidRDefault="00BA76C8" w:rsidP="00BA76C8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A76C8">
              <w:rPr>
                <w:rFonts w:ascii="宋体" w:hAnsi="宋体"/>
                <w:sz w:val="24"/>
                <w:szCs w:val="24"/>
              </w:rPr>
              <w:t>（京）网械平台备字（2022）第00018号</w:t>
            </w:r>
          </w:p>
          <w:p w:rsidR="00BA76C8" w:rsidRPr="00693504" w:rsidRDefault="00BA76C8" w:rsidP="00BA76C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A76C8">
              <w:rPr>
                <w:rFonts w:ascii="宋体" w:hAnsi="宋体"/>
                <w:sz w:val="24"/>
                <w:szCs w:val="24"/>
              </w:rPr>
              <w:t>（粤）网械平台备字〔2020〕第00014号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8D6AD9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80" w:rsidRDefault="00C97980" w:rsidP="00A33956">
      <w:r>
        <w:separator/>
      </w:r>
    </w:p>
  </w:endnote>
  <w:endnote w:type="continuationSeparator" w:id="0">
    <w:p w:rsidR="00C97980" w:rsidRDefault="00C97980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80" w:rsidRDefault="00C97980" w:rsidP="00A33956">
      <w:r>
        <w:separator/>
      </w:r>
    </w:p>
  </w:footnote>
  <w:footnote w:type="continuationSeparator" w:id="0">
    <w:p w:rsidR="00C97980" w:rsidRDefault="00C97980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B3944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A76C8"/>
    <w:rsid w:val="00BB24C9"/>
    <w:rsid w:val="00BB275F"/>
    <w:rsid w:val="00BC708E"/>
    <w:rsid w:val="00BC7AD0"/>
    <w:rsid w:val="00BD11AE"/>
    <w:rsid w:val="00BD1959"/>
    <w:rsid w:val="00BD3A5D"/>
    <w:rsid w:val="00BD4620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97980"/>
    <w:rsid w:val="00CA38DA"/>
    <w:rsid w:val="00CA6993"/>
    <w:rsid w:val="00CB025B"/>
    <w:rsid w:val="00CB26ED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2025-07-29T08:10:00Z</dcterms:created>
  <dcterms:modified xsi:type="dcterms:W3CDTF">2025-07-29T08:33:00Z</dcterms:modified>
</cp:coreProperties>
</file>