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6E849">
      <w:pPr>
        <w:keepNext w:val="0"/>
        <w:keepLines w:val="0"/>
        <w:pageBreakBefore w:val="0"/>
        <w:widowControl w:val="0"/>
        <w:kinsoku/>
        <w:wordWrap/>
        <w:overflowPunct/>
        <w:topLinePunct w:val="0"/>
        <w:autoSpaceDE/>
        <w:autoSpaceDN/>
        <w:bidi w:val="0"/>
        <w:adjustRightInd/>
        <w:snapToGrid/>
        <w:spacing w:line="590" w:lineRule="exact"/>
        <w:jc w:val="both"/>
        <w:textAlignment w:val="auto"/>
        <w:rPr>
          <w:rFonts w:hint="eastAsia" w:ascii="宋体" w:hAnsi="宋体" w:eastAsia="仿宋_GB2312" w:cs="仿宋_GB2312"/>
          <w:b w:val="0"/>
          <w:bCs w:val="0"/>
          <w:sz w:val="32"/>
          <w:szCs w:val="32"/>
          <w:lang w:val="en-US" w:eastAsia="zh-CN"/>
        </w:rPr>
      </w:pPr>
    </w:p>
    <w:p w14:paraId="7B7EEE82">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方正小标宋简体"/>
          <w:color w:val="333333"/>
          <w:kern w:val="0"/>
          <w:sz w:val="44"/>
          <w:szCs w:val="44"/>
          <w:lang w:val="en-US" w:eastAsia="zh-CN" w:bidi="ar"/>
        </w:rPr>
      </w:pPr>
    </w:p>
    <w:p w14:paraId="6FEB7AE7">
      <w:pPr>
        <w:keepNext w:val="0"/>
        <w:keepLines w:val="0"/>
        <w:pageBreakBefore w:val="0"/>
        <w:widowControl w:val="0"/>
        <w:suppressLineNumbers w:val="0"/>
        <w:kinsoku/>
        <w:wordWrap/>
        <w:overflowPunct/>
        <w:topLinePunct w:val="0"/>
        <w:autoSpaceDE/>
        <w:autoSpaceDN/>
        <w:bidi w:val="0"/>
        <w:adjustRightInd/>
        <w:snapToGrid/>
        <w:spacing w:line="600" w:lineRule="exact"/>
        <w:jc w:val="both"/>
        <w:textAlignment w:val="auto"/>
        <w:rPr>
          <w:rFonts w:hint="eastAsia" w:ascii="宋体" w:hAnsi="宋体" w:eastAsia="方正小标宋简体" w:cs="方正小标宋简体"/>
          <w:color w:val="333333"/>
          <w:kern w:val="0"/>
          <w:sz w:val="44"/>
          <w:szCs w:val="44"/>
          <w:lang w:val="en-US" w:eastAsia="zh-CN" w:bidi="ar"/>
        </w:rPr>
      </w:pPr>
    </w:p>
    <w:p w14:paraId="5DADE951">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333333"/>
          <w:kern w:val="0"/>
          <w:sz w:val="44"/>
          <w:szCs w:val="44"/>
          <w:lang w:val="en-US" w:eastAsia="zh-CN" w:bidi="ar"/>
        </w:rPr>
      </w:pPr>
      <w:r>
        <w:rPr>
          <w:rFonts w:hint="eastAsia" w:ascii="方正小标宋简体" w:hAnsi="方正小标宋简体" w:eastAsia="方正小标宋简体" w:cs="方正小标宋简体"/>
          <w:color w:val="333333"/>
          <w:kern w:val="0"/>
          <w:sz w:val="44"/>
          <w:szCs w:val="44"/>
          <w:lang w:val="en-US" w:eastAsia="zh-CN" w:bidi="ar"/>
        </w:rPr>
        <w:t>济源96333电梯安全应急处置平台</w:t>
      </w:r>
    </w:p>
    <w:p w14:paraId="18FA9339">
      <w:pPr>
        <w:keepNext w:val="0"/>
        <w:keepLines w:val="0"/>
        <w:pageBreakBefore w:val="0"/>
        <w:widowControl w:val="0"/>
        <w:suppressLineNumbers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333333"/>
          <w:kern w:val="0"/>
          <w:sz w:val="44"/>
          <w:szCs w:val="44"/>
          <w:lang w:val="en-US" w:eastAsia="zh-CN" w:bidi="ar"/>
        </w:rPr>
        <w:t>2024年第三季度工作分析</w:t>
      </w:r>
    </w:p>
    <w:p w14:paraId="0E96975C">
      <w:pPr>
        <w:keepNext w:val="0"/>
        <w:keepLines w:val="0"/>
        <w:pageBreakBefore w:val="0"/>
        <w:widowControl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仿宋_GB2312" w:cs="仿宋_GB2312"/>
          <w:b w:val="0"/>
          <w:bCs w:val="0"/>
          <w:sz w:val="32"/>
          <w:szCs w:val="32"/>
        </w:rPr>
      </w:pPr>
    </w:p>
    <w:p w14:paraId="7BAB450A">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一、电梯运行情况</w:t>
      </w:r>
    </w:p>
    <w:p w14:paraId="6BCC28B0">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color w:val="000000"/>
          <w:kern w:val="0"/>
          <w:sz w:val="32"/>
          <w:szCs w:val="32"/>
          <w:lang w:val="en-US" w:eastAsia="zh-CN" w:bidi="ar"/>
        </w:rPr>
        <w:t>2024年三季度（7月1日—9月30日）,济源示范区新注册登记电梯135台，拥有各类电梯运行总量3947台，维保单位21家，电梯使用单位574家，公共救援站点7个。</w:t>
      </w:r>
    </w:p>
    <w:p w14:paraId="6C4BBD5D">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二、电梯故障困人应急处置情况</w:t>
      </w:r>
    </w:p>
    <w:p w14:paraId="22254F82">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方正仿宋_GB2312" w:hAnsi="方正仿宋_GB2312" w:eastAsia="方正仿宋_GB2312" w:cs="方正仿宋_GB2312"/>
          <w:color w:val="000000"/>
          <w:kern w:val="0"/>
          <w:sz w:val="32"/>
          <w:szCs w:val="32"/>
          <w:lang w:val="en-US" w:eastAsia="zh-CN" w:bidi="ar"/>
        </w:rPr>
      </w:pPr>
      <w:r>
        <w:rPr>
          <w:rFonts w:hint="eastAsia" w:ascii="方正仿宋_GB2312" w:hAnsi="方正仿宋_GB2312" w:eastAsia="方正仿宋_GB2312" w:cs="方正仿宋_GB2312"/>
          <w:color w:val="000000"/>
          <w:kern w:val="0"/>
          <w:sz w:val="32"/>
          <w:szCs w:val="32"/>
          <w:lang w:val="en-US" w:eastAsia="zh-CN" w:bidi="ar"/>
        </w:rPr>
        <w:t>2024年三季度，济源96333电梯应急处置平台共接市民电话686通，处置电梯故障总数106起，其中困人故障75起，非困人故障31起，解救被困人员133人。</w:t>
      </w:r>
    </w:p>
    <w:p w14:paraId="4A189C3E">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三、电梯困人救援情况统计</w:t>
      </w:r>
    </w:p>
    <w:p w14:paraId="4CB69A2C">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rPr>
        <w:t>在困人故障处置中，一级救援</w:t>
      </w:r>
      <w:r>
        <w:rPr>
          <w:rFonts w:hint="eastAsia" w:ascii="方正仿宋_GB2312" w:hAnsi="方正仿宋_GB2312" w:eastAsia="方正仿宋_GB2312" w:cs="方正仿宋_GB2312"/>
          <w:b w:val="0"/>
          <w:bCs w:val="0"/>
          <w:sz w:val="32"/>
          <w:szCs w:val="32"/>
          <w:lang w:val="en-US" w:eastAsia="zh-CN"/>
        </w:rPr>
        <w:t>75</w:t>
      </w:r>
      <w:r>
        <w:rPr>
          <w:rFonts w:hint="eastAsia" w:ascii="方正仿宋_GB2312" w:hAnsi="方正仿宋_GB2312" w:eastAsia="方正仿宋_GB2312" w:cs="方正仿宋_GB2312"/>
          <w:b w:val="0"/>
          <w:bCs w:val="0"/>
          <w:sz w:val="32"/>
          <w:szCs w:val="32"/>
        </w:rPr>
        <w:t>起，占总处置量的</w:t>
      </w:r>
      <w:r>
        <w:rPr>
          <w:rFonts w:hint="eastAsia" w:ascii="方正仿宋_GB2312" w:hAnsi="方正仿宋_GB2312" w:eastAsia="方正仿宋_GB2312" w:cs="方正仿宋_GB2312"/>
          <w:b w:val="0"/>
          <w:bCs w:val="0"/>
          <w:sz w:val="32"/>
          <w:szCs w:val="32"/>
          <w:lang w:val="en-US" w:eastAsia="zh-CN"/>
        </w:rPr>
        <w:t>100</w:t>
      </w:r>
      <w:r>
        <w:rPr>
          <w:rFonts w:hint="eastAsia" w:ascii="方正仿宋_GB2312" w:hAnsi="方正仿宋_GB2312" w:eastAsia="方正仿宋_GB2312" w:cs="方正仿宋_GB2312"/>
          <w:b w:val="0"/>
          <w:bCs w:val="0"/>
          <w:sz w:val="32"/>
          <w:szCs w:val="32"/>
        </w:rPr>
        <w:t>%；二级救援</w:t>
      </w:r>
      <w:r>
        <w:rPr>
          <w:rFonts w:hint="eastAsia" w:ascii="方正仿宋_GB2312" w:hAnsi="方正仿宋_GB2312" w:eastAsia="方正仿宋_GB2312" w:cs="方正仿宋_GB2312"/>
          <w:b w:val="0"/>
          <w:bCs w:val="0"/>
          <w:sz w:val="32"/>
          <w:szCs w:val="32"/>
          <w:lang w:val="en-US" w:eastAsia="zh-CN"/>
        </w:rPr>
        <w:t>0</w:t>
      </w:r>
      <w:r>
        <w:rPr>
          <w:rFonts w:hint="eastAsia" w:ascii="方正仿宋_GB2312" w:hAnsi="方正仿宋_GB2312" w:eastAsia="方正仿宋_GB2312" w:cs="方正仿宋_GB2312"/>
          <w:b w:val="0"/>
          <w:bCs w:val="0"/>
          <w:sz w:val="32"/>
          <w:szCs w:val="32"/>
        </w:rPr>
        <w:t>起，占总处置量的</w:t>
      </w:r>
      <w:r>
        <w:rPr>
          <w:rFonts w:hint="eastAsia" w:ascii="方正仿宋_GB2312" w:hAnsi="方正仿宋_GB2312" w:eastAsia="方正仿宋_GB2312" w:cs="方正仿宋_GB2312"/>
          <w:b w:val="0"/>
          <w:bCs w:val="0"/>
          <w:sz w:val="32"/>
          <w:szCs w:val="32"/>
          <w:lang w:val="en-US" w:eastAsia="zh-CN"/>
        </w:rPr>
        <w:t>0</w:t>
      </w:r>
      <w:r>
        <w:rPr>
          <w:rFonts w:hint="eastAsia" w:ascii="方正仿宋_GB2312" w:hAnsi="方正仿宋_GB2312" w:eastAsia="方正仿宋_GB2312" w:cs="方正仿宋_GB2312"/>
          <w:b w:val="0"/>
          <w:bCs w:val="0"/>
          <w:sz w:val="32"/>
          <w:szCs w:val="32"/>
        </w:rPr>
        <w:t>%。救援人员到达现场平均用时</w:t>
      </w:r>
      <w:r>
        <w:rPr>
          <w:rFonts w:hint="eastAsia" w:ascii="方正仿宋_GB2312" w:hAnsi="方正仿宋_GB2312" w:eastAsia="方正仿宋_GB2312" w:cs="方正仿宋_GB2312"/>
          <w:b w:val="0"/>
          <w:bCs w:val="0"/>
          <w:sz w:val="32"/>
          <w:szCs w:val="32"/>
          <w:lang w:val="en-US" w:eastAsia="zh-CN"/>
        </w:rPr>
        <w:t>12</w:t>
      </w:r>
      <w:r>
        <w:rPr>
          <w:rFonts w:hint="eastAsia" w:ascii="方正仿宋_GB2312" w:hAnsi="方正仿宋_GB2312" w:eastAsia="方正仿宋_GB2312" w:cs="方正仿宋_GB2312"/>
          <w:b w:val="0"/>
          <w:bCs w:val="0"/>
          <w:sz w:val="32"/>
          <w:szCs w:val="32"/>
        </w:rPr>
        <w:t>.</w:t>
      </w:r>
      <w:r>
        <w:rPr>
          <w:rFonts w:hint="eastAsia" w:ascii="方正仿宋_GB2312" w:hAnsi="方正仿宋_GB2312" w:eastAsia="方正仿宋_GB2312" w:cs="方正仿宋_GB2312"/>
          <w:b w:val="0"/>
          <w:bCs w:val="0"/>
          <w:sz w:val="32"/>
          <w:szCs w:val="32"/>
          <w:lang w:val="en-US" w:eastAsia="zh-CN"/>
        </w:rPr>
        <w:t>91</w:t>
      </w:r>
      <w:r>
        <w:rPr>
          <w:rFonts w:hint="eastAsia" w:ascii="方正仿宋_GB2312" w:hAnsi="方正仿宋_GB2312" w:eastAsia="方正仿宋_GB2312" w:cs="方正仿宋_GB2312"/>
          <w:b w:val="0"/>
          <w:bCs w:val="0"/>
          <w:sz w:val="32"/>
          <w:szCs w:val="32"/>
        </w:rPr>
        <w:t>分钟，现场实施救援平均用时2.</w:t>
      </w:r>
      <w:r>
        <w:rPr>
          <w:rFonts w:hint="eastAsia" w:ascii="方正仿宋_GB2312" w:hAnsi="方正仿宋_GB2312" w:eastAsia="方正仿宋_GB2312" w:cs="方正仿宋_GB2312"/>
          <w:b w:val="0"/>
          <w:bCs w:val="0"/>
          <w:sz w:val="32"/>
          <w:szCs w:val="32"/>
          <w:lang w:val="en-US" w:eastAsia="zh-CN"/>
        </w:rPr>
        <w:t>99</w:t>
      </w:r>
      <w:r>
        <w:rPr>
          <w:rFonts w:hint="eastAsia" w:ascii="方正仿宋_GB2312" w:hAnsi="方正仿宋_GB2312" w:eastAsia="方正仿宋_GB2312" w:cs="方正仿宋_GB2312"/>
          <w:b w:val="0"/>
          <w:bCs w:val="0"/>
          <w:sz w:val="32"/>
          <w:szCs w:val="32"/>
        </w:rPr>
        <w:t>分钟。</w:t>
      </w:r>
      <w:r>
        <w:rPr>
          <w:rFonts w:hint="eastAsia" w:ascii="方正仿宋_GB2312" w:hAnsi="方正仿宋_GB2312" w:eastAsia="方正仿宋_GB2312" w:cs="方正仿宋_GB2312"/>
          <w:color w:val="000000"/>
          <w:kern w:val="0"/>
          <w:sz w:val="32"/>
          <w:szCs w:val="32"/>
          <w:lang w:val="en-US" w:eastAsia="zh-CN" w:bidi="ar"/>
        </w:rPr>
        <w:t>救援单位对签约维保的电梯3分钟内响应率为100%,30分钟到场率为100%。</w:t>
      </w:r>
    </w:p>
    <w:p w14:paraId="2EA98C14">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四、电梯故障区域统计</w:t>
      </w:r>
    </w:p>
    <w:p w14:paraId="26ED9E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inline distT="0" distB="0" distL="114300" distR="114300">
            <wp:extent cx="5266055" cy="4359910"/>
            <wp:effectExtent l="0" t="0" r="10795" b="25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266055" cy="4359910"/>
                    </a:xfrm>
                    <a:prstGeom prst="rect">
                      <a:avLst/>
                    </a:prstGeom>
                  </pic:spPr>
                </pic:pic>
              </a:graphicData>
            </a:graphic>
          </wp:inline>
        </w:drawing>
      </w:r>
    </w:p>
    <w:p w14:paraId="6ECFBAD0">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77839293">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五、电梯故障使用场所统计</w:t>
      </w:r>
    </w:p>
    <w:p w14:paraId="3570CE7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drawing>
          <wp:inline distT="0" distB="0" distL="114300" distR="114300">
            <wp:extent cx="5266055" cy="2913380"/>
            <wp:effectExtent l="0" t="0" r="10795" b="1270"/>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6"/>
                    <a:stretch>
                      <a:fillRect/>
                    </a:stretch>
                  </pic:blipFill>
                  <pic:spPr>
                    <a:xfrm>
                      <a:off x="0" y="0"/>
                      <a:ext cx="5266055" cy="2913380"/>
                    </a:xfrm>
                    <a:prstGeom prst="rect">
                      <a:avLst/>
                    </a:prstGeom>
                  </pic:spPr>
                </pic:pic>
              </a:graphicData>
            </a:graphic>
          </wp:inline>
        </w:drawing>
      </w:r>
    </w:p>
    <w:p w14:paraId="6A2F1032">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六、电梯故障原因分析</w:t>
      </w:r>
    </w:p>
    <w:p w14:paraId="3C445A6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仿宋_GB2312" w:cs="仿宋_GB2312"/>
          <w:b w:val="0"/>
          <w:bCs w:val="0"/>
          <w:i w:val="0"/>
          <w:iCs w:val="0"/>
          <w:color w:val="000000"/>
          <w:kern w:val="0"/>
          <w:sz w:val="32"/>
          <w:szCs w:val="32"/>
          <w:u w:val="none"/>
          <w:lang w:val="en-US" w:eastAsia="zh-CN" w:bidi="ar"/>
        </w:rPr>
      </w:pPr>
      <w:r>
        <w:rPr>
          <w:rFonts w:hint="eastAsia" w:ascii="宋体" w:hAnsi="宋体" w:eastAsia="仿宋_GB2312" w:cs="仿宋_GB2312"/>
          <w:b w:val="0"/>
          <w:bCs w:val="0"/>
          <w:i w:val="0"/>
          <w:iCs w:val="0"/>
          <w:color w:val="000000"/>
          <w:kern w:val="0"/>
          <w:sz w:val="32"/>
          <w:szCs w:val="32"/>
          <w:u w:val="none"/>
          <w:lang w:val="en-US" w:eastAsia="zh-CN" w:bidi="ar"/>
        </w:rPr>
        <w:drawing>
          <wp:inline distT="0" distB="0" distL="114300" distR="114300">
            <wp:extent cx="5266055" cy="2788920"/>
            <wp:effectExtent l="0" t="0" r="10795" b="11430"/>
            <wp:docPr id="3"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
                    <pic:cNvPicPr>
                      <a:picLocks noChangeAspect="1"/>
                    </pic:cNvPicPr>
                  </pic:nvPicPr>
                  <pic:blipFill>
                    <a:blip r:embed="rId7"/>
                    <a:stretch>
                      <a:fillRect/>
                    </a:stretch>
                  </pic:blipFill>
                  <pic:spPr>
                    <a:xfrm>
                      <a:off x="0" y="0"/>
                      <a:ext cx="5266055" cy="2788920"/>
                    </a:xfrm>
                    <a:prstGeom prst="rect">
                      <a:avLst/>
                    </a:prstGeom>
                  </pic:spPr>
                </pic:pic>
              </a:graphicData>
            </a:graphic>
          </wp:inline>
        </w:drawing>
      </w:r>
    </w:p>
    <w:p w14:paraId="1D4401B7">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黑体" w:cs="黑体"/>
          <w:b w:val="0"/>
          <w:bCs w:val="0"/>
          <w:sz w:val="32"/>
          <w:szCs w:val="32"/>
          <w:lang w:val="en-US" w:eastAsia="zh-CN"/>
        </w:rPr>
      </w:pPr>
      <w:r>
        <w:rPr>
          <w:rFonts w:hint="eastAsia" w:ascii="方正仿宋_GB2312" w:hAnsi="方正仿宋_GB2312" w:eastAsia="方正仿宋_GB2312" w:cs="方正仿宋_GB2312"/>
          <w:b w:val="0"/>
          <w:bCs w:val="0"/>
          <w:i w:val="0"/>
          <w:iCs w:val="0"/>
          <w:color w:val="000000"/>
          <w:kern w:val="0"/>
          <w:sz w:val="32"/>
          <w:szCs w:val="32"/>
          <w:u w:val="none"/>
          <w:lang w:val="en-US" w:eastAsia="zh-CN" w:bidi="ar"/>
        </w:rPr>
        <w:t>依据《电梯应急处置平台技术规范》（T/CPASE M001—2019）,在人为原因、外部原因、门系统、曳引系统、导向系统、轿厢、控制系统、电气系统、安全保护装置九类故障中：</w:t>
      </w:r>
      <w:r>
        <w:rPr>
          <w:rFonts w:hint="eastAsia" w:ascii="仿宋" w:hAnsi="仿宋" w:eastAsia="仿宋" w:cs="仿宋"/>
          <w:i w:val="0"/>
          <w:iCs w:val="0"/>
          <w:color w:val="000000"/>
          <w:kern w:val="0"/>
          <w:sz w:val="32"/>
          <w:szCs w:val="32"/>
          <w:u w:val="none"/>
          <w:lang w:val="en-US" w:eastAsia="zh-CN" w:bidi="ar"/>
        </w:rPr>
        <w:t>在受理的各类故障中，外部原因占故障总数的13起，人为原因占故障总数的10起，电气系统占故障总数的6起，上述三种故障原因占故障总数的27.36%。经分析，大面积停电，导致大量电梯突然停运，人员被困；另一方面，由于装修垃圾和生活垃圾致使开关门受阻，引发电梯故障。</w:t>
      </w:r>
    </w:p>
    <w:p w14:paraId="21A6587C">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黑体" w:cs="黑体"/>
          <w:b w:val="0"/>
          <w:bCs w:val="0"/>
          <w:sz w:val="32"/>
          <w:szCs w:val="32"/>
          <w:lang w:val="en-US" w:eastAsia="zh-CN"/>
        </w:rPr>
      </w:pPr>
    </w:p>
    <w:p w14:paraId="44CFDA9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77E9980E">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4C79F6D4">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26C58A59">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59A65B3C">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16C69BC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bookmarkStart w:id="0" w:name="_GoBack"/>
      <w:bookmarkEnd w:id="0"/>
      <w:r>
        <w:rPr>
          <w:rFonts w:hint="eastAsia" w:ascii="宋体" w:hAnsi="宋体" w:eastAsia="黑体" w:cs="黑体"/>
          <w:b w:val="0"/>
          <w:bCs w:val="0"/>
          <w:sz w:val="32"/>
          <w:szCs w:val="32"/>
          <w:lang w:val="en-US" w:eastAsia="zh-CN"/>
        </w:rPr>
        <w:t>七、电梯困人故障次数高发使用单位</w:t>
      </w:r>
    </w:p>
    <w:p w14:paraId="68413EC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drawing>
          <wp:inline distT="0" distB="0" distL="114300" distR="114300">
            <wp:extent cx="5266055" cy="2913380"/>
            <wp:effectExtent l="0" t="0" r="10795" b="1270"/>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8"/>
                    <a:stretch>
                      <a:fillRect/>
                    </a:stretch>
                  </pic:blipFill>
                  <pic:spPr>
                    <a:xfrm>
                      <a:off x="0" y="0"/>
                      <a:ext cx="5266055" cy="2913380"/>
                    </a:xfrm>
                    <a:prstGeom prst="rect">
                      <a:avLst/>
                    </a:prstGeom>
                  </pic:spPr>
                </pic:pic>
              </a:graphicData>
            </a:graphic>
          </wp:inline>
        </w:drawing>
      </w:r>
    </w:p>
    <w:p w14:paraId="25C5D641">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p>
    <w:p w14:paraId="79BC1DB9">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八、电梯总故障率较高维保单位</w:t>
      </w:r>
    </w:p>
    <w:p w14:paraId="19A3EEE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drawing>
          <wp:inline distT="0" distB="0" distL="114300" distR="114300">
            <wp:extent cx="5266055" cy="2913380"/>
            <wp:effectExtent l="0" t="0" r="10795" b="1270"/>
            <wp:docPr id="5" name="图片 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6"/>
                    <pic:cNvPicPr>
                      <a:picLocks noChangeAspect="1"/>
                    </pic:cNvPicPr>
                  </pic:nvPicPr>
                  <pic:blipFill>
                    <a:blip r:embed="rId9"/>
                    <a:stretch>
                      <a:fillRect/>
                    </a:stretch>
                  </pic:blipFill>
                  <pic:spPr>
                    <a:xfrm>
                      <a:off x="0" y="0"/>
                      <a:ext cx="5266055" cy="2913380"/>
                    </a:xfrm>
                    <a:prstGeom prst="rect">
                      <a:avLst/>
                    </a:prstGeom>
                  </pic:spPr>
                </pic:pic>
              </a:graphicData>
            </a:graphic>
          </wp:inline>
        </w:drawing>
      </w:r>
    </w:p>
    <w:p w14:paraId="15625504">
      <w:pPr>
        <w:keepNext w:val="0"/>
        <w:keepLines w:val="0"/>
        <w:pageBreakBefore w:val="0"/>
        <w:widowControl w:val="0"/>
        <w:suppressLineNumbers w:val="0"/>
        <w:kinsoku/>
        <w:wordWrap/>
        <w:overflowPunct/>
        <w:topLinePunct w:val="0"/>
        <w:autoSpaceDE/>
        <w:autoSpaceDN/>
        <w:bidi w:val="0"/>
        <w:adjustRightInd/>
        <w:snapToGrid/>
        <w:spacing w:line="590" w:lineRule="exact"/>
        <w:ind w:leftChars="0" w:firstLine="640" w:firstLineChars="200"/>
        <w:jc w:val="both"/>
        <w:textAlignment w:val="auto"/>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九、下一步工作安全提示</w:t>
      </w:r>
    </w:p>
    <w:p w14:paraId="60DE7C7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i w:val="0"/>
          <w:iCs w:val="0"/>
          <w:color w:val="000000"/>
          <w:kern w:val="0"/>
          <w:sz w:val="32"/>
          <w:szCs w:val="32"/>
          <w:u w:val="none"/>
          <w:lang w:val="en-US" w:eastAsia="zh-CN" w:bidi="ar"/>
        </w:rPr>
      </w:pPr>
      <w:r>
        <w:rPr>
          <w:rFonts w:hint="eastAsia" w:ascii="仿宋" w:hAnsi="仿宋" w:eastAsia="仿宋" w:cs="仿宋"/>
          <w:i w:val="0"/>
          <w:iCs w:val="0"/>
          <w:color w:val="000000"/>
          <w:kern w:val="0"/>
          <w:sz w:val="32"/>
          <w:szCs w:val="32"/>
          <w:u w:val="none"/>
          <w:lang w:val="en-US" w:eastAsia="zh-CN" w:bidi="ar"/>
        </w:rPr>
        <w:t>电梯故障发生率是使用单位落实安全主体责任情况的直接反映，绝大多数电梯安全事故都与使用单位落实主体责任不力有关。针对电梯故障发生率较高的使用单位和电梯总故障率较高的维保单位，济源示范区市场监管局将督促电梯使用单位要主动肩负起主体责任，进一步规范日常管理制度，加强安全巡查、检查；要求维保单位必须认真履行安全维保责任，坚决杜绝“不定期维保、走过场维保”等现象，切实以高质量的维保工作保障电梯安全运行；同时，在全市倡导文明乘梯行为，共同营造安全和谐的文明用梯环境。</w:t>
      </w:r>
    </w:p>
    <w:p w14:paraId="7E82A47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i w:val="0"/>
          <w:iCs w:val="0"/>
          <w:color w:val="000000"/>
          <w:kern w:val="0"/>
          <w:sz w:val="32"/>
          <w:szCs w:val="32"/>
          <w:u w:val="none"/>
          <w:lang w:val="en-US" w:eastAsia="zh-CN" w:bidi="ar"/>
        </w:rPr>
      </w:pPr>
    </w:p>
    <w:p w14:paraId="0EDE19B5">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 w:hAnsi="仿宋" w:eastAsia="仿宋" w:cs="仿宋"/>
          <w:i w:val="0"/>
          <w:iCs w:val="0"/>
          <w:color w:val="000000"/>
          <w:kern w:val="0"/>
          <w:sz w:val="32"/>
          <w:szCs w:val="32"/>
          <w:u w:val="none"/>
          <w:lang w:val="en-US" w:eastAsia="zh-CN" w:bidi="ar"/>
        </w:rPr>
      </w:pPr>
      <w:r>
        <w:rPr>
          <w:rFonts w:hint="eastAsia" w:ascii="仿宋" w:hAnsi="仿宋" w:eastAsia="仿宋" w:cs="仿宋"/>
          <w:i w:val="0"/>
          <w:iCs w:val="0"/>
          <w:color w:val="000000"/>
          <w:kern w:val="0"/>
          <w:sz w:val="32"/>
          <w:szCs w:val="32"/>
          <w:u w:val="none"/>
          <w:lang w:val="en-US" w:eastAsia="zh-CN" w:bidi="ar"/>
        </w:rPr>
        <w:t xml:space="preserve">  </w:t>
      </w:r>
    </w:p>
    <w:p w14:paraId="2C4AAE5D">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仿宋" w:hAnsi="仿宋" w:eastAsia="仿宋" w:cs="仿宋"/>
          <w:i w:val="0"/>
          <w:iCs w:val="0"/>
          <w:color w:val="000000"/>
          <w:kern w:val="0"/>
          <w:sz w:val="32"/>
          <w:szCs w:val="32"/>
          <w:u w:val="none"/>
          <w:lang w:val="en-US" w:eastAsia="zh-CN" w:bidi="ar"/>
        </w:rPr>
      </w:pPr>
      <w:r>
        <w:rPr>
          <w:rFonts w:hint="eastAsia" w:ascii="仿宋" w:hAnsi="仿宋" w:eastAsia="仿宋" w:cs="仿宋"/>
          <w:i w:val="0"/>
          <w:iCs w:val="0"/>
          <w:color w:val="000000"/>
          <w:kern w:val="0"/>
          <w:sz w:val="32"/>
          <w:szCs w:val="32"/>
          <w:u w:val="none"/>
          <w:lang w:val="en-US" w:eastAsia="zh-CN" w:bidi="ar"/>
        </w:rPr>
        <w:t xml:space="preserve">                               2024年10月8日</w:t>
      </w:r>
    </w:p>
    <w:sectPr>
      <w:footerReference r:id="rId3" w:type="default"/>
      <w:pgSz w:w="11906"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98D9FF-F028-4D16-BD9A-6DC520EF33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6CDA3161-C603-4259-82CF-7CD57D581273}"/>
  </w:font>
  <w:font w:name="方正小标宋简体">
    <w:panose1 w:val="02000000000000000000"/>
    <w:charset w:val="86"/>
    <w:family w:val="auto"/>
    <w:pitch w:val="default"/>
    <w:sig w:usb0="00000001" w:usb1="08000000" w:usb2="00000000" w:usb3="00000000" w:csb0="00040000" w:csb1="00000000"/>
    <w:embedRegular r:id="rId3" w:fontKey="{4FD941D0-A089-4590-92E0-A64D6827DF40}"/>
  </w:font>
  <w:font w:name="仿宋">
    <w:panose1 w:val="02010609060101010101"/>
    <w:charset w:val="86"/>
    <w:family w:val="auto"/>
    <w:pitch w:val="default"/>
    <w:sig w:usb0="800002BF" w:usb1="38CF7CFA" w:usb2="00000016" w:usb3="00000000" w:csb0="00040001" w:csb1="00000000"/>
    <w:embedRegular r:id="rId4" w:fontKey="{FB30D36D-B3ED-42C6-AC6E-FC1FC8C45CA0}"/>
  </w:font>
  <w:font w:name="方正仿宋_GB2312">
    <w:panose1 w:val="02000000000000000000"/>
    <w:charset w:val="86"/>
    <w:family w:val="auto"/>
    <w:pitch w:val="default"/>
    <w:sig w:usb0="A00002BF" w:usb1="184F6CFA" w:usb2="00000012" w:usb3="00000000" w:csb0="00040001" w:csb1="00000000"/>
    <w:embedRegular r:id="rId5" w:fontKey="{6C2389B4-EDDE-4468-AE4E-9AAF18DA3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445C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202B5">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13202B5">
                    <w:pPr>
                      <w:pStyle w:val="2"/>
                      <w:keepNext w:val="0"/>
                      <w:keepLines w:val="0"/>
                      <w:pageBreakBefore w:val="0"/>
                      <w:widowControl w:val="0"/>
                      <w:kinsoku/>
                      <w:wordWrap/>
                      <w:overflowPunct/>
                      <w:topLinePunct w:val="0"/>
                      <w:autoSpaceDE/>
                      <w:autoSpaceDN/>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2NTI0MDE0YWJjNGI5MmI5MTRjNDYxMzYyZDIwMmMifQ=="/>
  </w:docVars>
  <w:rsids>
    <w:rsidRoot w:val="71117BB2"/>
    <w:rsid w:val="01B52F97"/>
    <w:rsid w:val="170A55AD"/>
    <w:rsid w:val="2DA15C8B"/>
    <w:rsid w:val="3CE054D8"/>
    <w:rsid w:val="60D72DC6"/>
    <w:rsid w:val="6C4E0A58"/>
    <w:rsid w:val="6FC25D6A"/>
    <w:rsid w:val="71117BB2"/>
    <w:rsid w:val="7F782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591</Words>
  <Characters>676</Characters>
  <Lines>0</Lines>
  <Paragraphs>0</Paragraphs>
  <TotalTime>22</TotalTime>
  <ScaleCrop>false</ScaleCrop>
  <LinksUpToDate>false</LinksUpToDate>
  <CharactersWithSpaces>677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2023-04-06T01:53:00Z</dcterms:created>
  <dc:creator>Aa苗子</dc:creator>
  <cp:lastModifiedBy>嚌源不翻兒</cp:lastModifiedBy>
  <cp:lastPrinted>2024-10-23T23:50:00Z</cp:lastPrinted>
  <dcterms:modified xsi:type="dcterms:W3CDTF">2024-12-10T00:04:08Z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CB15410AAAFF49D0878F712CA57A2EB0_13</vt:lpwstr>
  </property>
</Properties>
</file>