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6A4E4">
      <w:pPr>
        <w:spacing w:line="360" w:lineRule="auto"/>
        <w:jc w:val="center"/>
        <w:rPr>
          <w:rFonts w:ascii="宋体" w:hAnsi="宋体" w:eastAsia="宋体"/>
          <w:b/>
          <w:sz w:val="44"/>
          <w:szCs w:val="44"/>
        </w:rPr>
      </w:pPr>
      <w:r>
        <w:rPr>
          <w:rFonts w:hint="eastAsia" w:ascii="宋体" w:hAnsi="宋体" w:eastAsia="宋体"/>
          <w:b/>
          <w:sz w:val="44"/>
          <w:szCs w:val="44"/>
        </w:rPr>
        <w:t>济源示范区市场监督管理局</w:t>
      </w:r>
    </w:p>
    <w:p w14:paraId="6B98BF51">
      <w:pPr>
        <w:spacing w:line="360" w:lineRule="auto"/>
        <w:jc w:val="center"/>
        <w:rPr>
          <w:rFonts w:ascii="宋体" w:hAnsi="宋体" w:eastAsia="宋体"/>
          <w:b/>
          <w:sz w:val="44"/>
          <w:szCs w:val="44"/>
        </w:rPr>
      </w:pPr>
      <w:r>
        <w:rPr>
          <w:rFonts w:hint="eastAsia" w:ascii="宋体" w:hAnsi="宋体" w:eastAsia="宋体"/>
          <w:b/>
          <w:sz w:val="44"/>
          <w:szCs w:val="44"/>
          <w:lang w:eastAsia="zh-CN"/>
        </w:rPr>
        <w:t>2024年</w:t>
      </w:r>
      <w:r>
        <w:rPr>
          <w:rFonts w:hint="eastAsia" w:ascii="宋体" w:hAnsi="宋体" w:eastAsia="宋体"/>
          <w:b/>
          <w:sz w:val="44"/>
          <w:szCs w:val="44"/>
          <w:lang w:val="en-US" w:eastAsia="zh-CN"/>
        </w:rPr>
        <w:t>10月</w:t>
      </w:r>
      <w:r>
        <w:rPr>
          <w:rFonts w:hint="eastAsia" w:ascii="宋体" w:hAnsi="宋体" w:eastAsia="宋体"/>
          <w:b/>
          <w:sz w:val="44"/>
          <w:szCs w:val="44"/>
        </w:rPr>
        <w:t>12315消费维权</w:t>
      </w:r>
      <w:r>
        <w:rPr>
          <w:rFonts w:hint="eastAsia" w:ascii="宋体" w:hAnsi="宋体" w:eastAsia="宋体"/>
          <w:b/>
          <w:sz w:val="44"/>
          <w:szCs w:val="44"/>
          <w:lang w:eastAsia="zh-CN"/>
        </w:rPr>
        <w:t>分析</w:t>
      </w:r>
      <w:r>
        <w:rPr>
          <w:rFonts w:hint="eastAsia" w:ascii="宋体" w:hAnsi="宋体" w:eastAsia="宋体"/>
          <w:b/>
          <w:sz w:val="44"/>
          <w:szCs w:val="44"/>
        </w:rPr>
        <w:t>报告</w:t>
      </w:r>
    </w:p>
    <w:p w14:paraId="671F9500">
      <w:pPr>
        <w:spacing w:line="360" w:lineRule="auto"/>
        <w:ind w:left="656" w:leftChars="205"/>
        <w:rPr>
          <w:rFonts w:ascii="宋体" w:hAnsi="宋体" w:eastAsia="宋体"/>
          <w:b/>
          <w:lang w:val="zh-CN"/>
        </w:rPr>
      </w:pPr>
      <w:r>
        <w:rPr>
          <w:rFonts w:hint="eastAsia" w:ascii="宋体" w:hAnsi="宋体" w:eastAsia="宋体"/>
          <w:b/>
          <w:lang w:val="zh-CN"/>
        </w:rPr>
        <w:t>一、</w:t>
      </w:r>
      <w:r>
        <w:rPr>
          <w:rFonts w:hint="eastAsia" w:ascii="宋体" w:hAnsi="宋体" w:eastAsia="宋体"/>
          <w:b/>
          <w:lang w:val="en-US" w:eastAsia="zh-CN"/>
        </w:rPr>
        <w:t>10月</w:t>
      </w:r>
      <w:r>
        <w:rPr>
          <w:rFonts w:hint="eastAsia" w:ascii="宋体" w:hAnsi="宋体" w:eastAsia="宋体"/>
          <w:b/>
          <w:lang w:val="zh-CN"/>
        </w:rPr>
        <w:t>全市12315系统受理情况</w:t>
      </w:r>
    </w:p>
    <w:p w14:paraId="1965ED59">
      <w:pPr>
        <w:tabs>
          <w:tab w:val="left" w:pos="8789"/>
        </w:tabs>
        <w:autoSpaceDE w:val="0"/>
        <w:autoSpaceDN w:val="0"/>
        <w:adjustRightInd w:val="0"/>
        <w:snapToGrid w:val="0"/>
        <w:spacing w:line="360" w:lineRule="auto"/>
        <w:ind w:firstLine="640" w:firstLineChars="200"/>
        <w:jc w:val="left"/>
        <w:rPr>
          <w:rFonts w:ascii="宋体" w:hAnsi="宋体" w:eastAsia="宋体"/>
          <w:szCs w:val="32"/>
          <w:lang w:val="zh-CN"/>
        </w:rPr>
      </w:pPr>
      <w:r>
        <w:rPr>
          <w:rFonts w:hint="eastAsia" w:ascii="宋体" w:hAnsi="宋体" w:eastAsia="宋体"/>
          <w:lang w:val="en-US" w:eastAsia="zh-CN"/>
        </w:rPr>
        <w:t>10月</w:t>
      </w:r>
      <w:r>
        <w:rPr>
          <w:rFonts w:hint="eastAsia" w:ascii="宋体" w:hAnsi="宋体" w:eastAsia="宋体"/>
          <w:szCs w:val="32"/>
          <w:lang w:val="zh-CN"/>
        </w:rPr>
        <w:t>济源示范区市场监督管理局12315指挥中心共受理消费者投诉、举报</w:t>
      </w:r>
      <w:r>
        <w:rPr>
          <w:rFonts w:hint="eastAsia" w:ascii="宋体" w:hAnsi="宋体" w:eastAsia="宋体"/>
          <w:szCs w:val="32"/>
          <w:lang w:val="en-US" w:eastAsia="zh-CN"/>
        </w:rPr>
        <w:t>966件</w:t>
      </w:r>
      <w:r>
        <w:rPr>
          <w:rFonts w:hint="eastAsia" w:ascii="宋体" w:hAnsi="宋体" w:eastAsia="宋体"/>
          <w:szCs w:val="32"/>
          <w:lang w:val="zh-CN"/>
        </w:rPr>
        <w:t>。具体情况是：受理投诉</w:t>
      </w:r>
      <w:r>
        <w:rPr>
          <w:rFonts w:hint="eastAsia" w:ascii="宋体" w:hAnsi="宋体" w:eastAsia="宋体"/>
          <w:szCs w:val="32"/>
          <w:lang w:val="en-US" w:eastAsia="zh-CN"/>
        </w:rPr>
        <w:t>812件</w:t>
      </w:r>
      <w:r>
        <w:rPr>
          <w:rFonts w:hint="eastAsia" w:ascii="宋体" w:hAnsi="宋体" w:eastAsia="宋体"/>
          <w:szCs w:val="32"/>
          <w:lang w:val="zh-CN"/>
        </w:rPr>
        <w:t>，其中商品消费类投诉</w:t>
      </w:r>
      <w:r>
        <w:rPr>
          <w:rFonts w:hint="eastAsia" w:ascii="宋体" w:hAnsi="宋体" w:eastAsia="宋体"/>
          <w:szCs w:val="32"/>
          <w:lang w:val="en-US" w:eastAsia="zh-CN"/>
        </w:rPr>
        <w:t>518件</w:t>
      </w:r>
      <w:r>
        <w:rPr>
          <w:rFonts w:hint="eastAsia" w:ascii="宋体" w:hAnsi="宋体" w:eastAsia="宋体"/>
          <w:szCs w:val="32"/>
          <w:lang w:val="zh-CN"/>
        </w:rPr>
        <w:t>，服务消费类投诉</w:t>
      </w:r>
      <w:r>
        <w:rPr>
          <w:rFonts w:hint="eastAsia" w:ascii="宋体" w:hAnsi="宋体" w:eastAsia="宋体"/>
          <w:szCs w:val="32"/>
          <w:lang w:val="en-US" w:eastAsia="zh-CN"/>
        </w:rPr>
        <w:t>294件</w:t>
      </w:r>
      <w:r>
        <w:rPr>
          <w:rFonts w:hint="eastAsia" w:ascii="宋体" w:hAnsi="宋体" w:eastAsia="宋体"/>
          <w:szCs w:val="32"/>
          <w:lang w:val="zh-CN"/>
        </w:rPr>
        <w:t>，挽回经济损失</w:t>
      </w:r>
      <w:r>
        <w:rPr>
          <w:rFonts w:hint="eastAsia" w:ascii="宋体" w:hAnsi="宋体" w:eastAsia="宋体"/>
          <w:szCs w:val="32"/>
          <w:lang w:val="en-US" w:eastAsia="zh-CN"/>
        </w:rPr>
        <w:t>9.8</w:t>
      </w:r>
      <w:r>
        <w:rPr>
          <w:rFonts w:hint="eastAsia" w:ascii="宋体" w:hAnsi="宋体" w:eastAsia="宋体"/>
          <w:szCs w:val="32"/>
          <w:lang w:val="zh-CN"/>
        </w:rPr>
        <w:t>万元；受理举报</w:t>
      </w:r>
      <w:r>
        <w:rPr>
          <w:rFonts w:hint="eastAsia" w:ascii="宋体" w:hAnsi="宋体" w:eastAsia="宋体"/>
          <w:szCs w:val="32"/>
          <w:lang w:val="en-US" w:eastAsia="zh-CN"/>
        </w:rPr>
        <w:t>154件</w:t>
      </w:r>
      <w:r>
        <w:rPr>
          <w:rFonts w:hint="eastAsia" w:ascii="宋体" w:hAnsi="宋体" w:eastAsia="宋体"/>
          <w:szCs w:val="32"/>
          <w:lang w:val="zh-CN"/>
        </w:rPr>
        <w:t>。</w:t>
      </w:r>
    </w:p>
    <w:p w14:paraId="0AA33E80">
      <w:pPr>
        <w:tabs>
          <w:tab w:val="left" w:pos="9180"/>
        </w:tabs>
        <w:autoSpaceDE w:val="0"/>
        <w:autoSpaceDN w:val="0"/>
        <w:adjustRightInd w:val="0"/>
        <w:snapToGrid w:val="0"/>
        <w:spacing w:beforeLines="50" w:afterLines="50" w:line="560" w:lineRule="exact"/>
        <w:jc w:val="center"/>
        <w:rPr>
          <w:rFonts w:ascii="宋体" w:hAnsi="宋体" w:eastAsia="宋体"/>
          <w:b/>
          <w:sz w:val="28"/>
          <w:szCs w:val="28"/>
          <w:lang w:val="zh-CN"/>
        </w:rPr>
      </w:pPr>
      <w:r>
        <w:rPr>
          <w:rFonts w:hint="eastAsia" w:ascii="宋体" w:hAnsi="宋体" w:eastAsia="宋体"/>
          <w:b/>
          <w:sz w:val="28"/>
          <w:szCs w:val="28"/>
          <w:lang w:val="zh-CN"/>
        </w:rPr>
        <w:t>图一、10月受理总量示意图</w:t>
      </w:r>
    </w:p>
    <w:p w14:paraId="1F1FD85B">
      <w:pPr>
        <w:pStyle w:val="8"/>
        <w:tabs>
          <w:tab w:val="left" w:pos="8931"/>
        </w:tabs>
        <w:ind w:left="-269" w:leftChars="-84" w:right="-134" w:rightChars="-42" w:firstLine="280" w:firstLineChars="117"/>
        <w:jc w:val="center"/>
      </w:pPr>
      <w:r>
        <w:drawing>
          <wp:inline distT="0" distB="0" distL="114300" distR="114300">
            <wp:extent cx="2705100" cy="2099310"/>
            <wp:effectExtent l="4445" t="4445" r="14605" b="10795"/>
            <wp:docPr id="506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7D73C219">
      <w:pPr>
        <w:pStyle w:val="8"/>
        <w:spacing w:line="360" w:lineRule="auto"/>
        <w:ind w:firstLine="640" w:firstLineChars="200"/>
        <w:rPr>
          <w:rFonts w:hint="default" w:cs="Times New Roman"/>
          <w:kern w:val="2"/>
          <w:sz w:val="32"/>
          <w:szCs w:val="32"/>
          <w:lang w:val="en-US" w:eastAsia="zh-CN"/>
        </w:rPr>
      </w:pPr>
      <w:r>
        <w:rPr>
          <w:rFonts w:hint="eastAsia" w:cs="Times New Roman"/>
          <w:kern w:val="2"/>
          <w:sz w:val="32"/>
          <w:szCs w:val="32"/>
          <w:lang w:val="zh-CN"/>
        </w:rPr>
        <w:t>从以上图表可以看出，在10月受理的具体情况中，</w:t>
      </w:r>
      <w:bookmarkStart w:id="0" w:name="_Toc460571227"/>
      <w:r>
        <w:rPr>
          <w:rFonts w:hint="eastAsia" w:cs="Times New Roman"/>
          <w:kern w:val="2"/>
          <w:sz w:val="32"/>
          <w:szCs w:val="32"/>
        </w:rPr>
        <w:t>投诉类在总量中所占比例为</w:t>
      </w:r>
      <w:r>
        <w:rPr>
          <w:rFonts w:hint="eastAsia" w:cs="Times New Roman"/>
          <w:kern w:val="2"/>
          <w:sz w:val="32"/>
          <w:szCs w:val="32"/>
          <w:lang w:val="en-US" w:eastAsia="zh-CN"/>
        </w:rPr>
        <w:t>84.1</w:t>
      </w:r>
      <w:r>
        <w:rPr>
          <w:rFonts w:hint="eastAsia" w:cs="Times New Roman"/>
          <w:kern w:val="2"/>
          <w:sz w:val="32"/>
          <w:szCs w:val="32"/>
        </w:rPr>
        <w:t>%，举报类在总量中所占比例为</w:t>
      </w:r>
      <w:r>
        <w:rPr>
          <w:rFonts w:hint="eastAsia" w:cs="Times New Roman"/>
          <w:kern w:val="2"/>
          <w:sz w:val="32"/>
          <w:szCs w:val="32"/>
          <w:lang w:val="en-US" w:eastAsia="zh-CN"/>
        </w:rPr>
        <w:t>15.9</w:t>
      </w:r>
      <w:r>
        <w:rPr>
          <w:rFonts w:hint="eastAsia" w:cs="Times New Roman"/>
          <w:kern w:val="2"/>
          <w:sz w:val="32"/>
          <w:szCs w:val="32"/>
        </w:rPr>
        <w:t>%。</w:t>
      </w:r>
    </w:p>
    <w:bookmarkEnd w:id="0"/>
    <w:p w14:paraId="47B042AB">
      <w:pPr>
        <w:spacing w:line="360" w:lineRule="auto"/>
        <w:ind w:firstLine="643" w:firstLineChars="200"/>
        <w:jc w:val="left"/>
        <w:outlineLvl w:val="0"/>
        <w:rPr>
          <w:rFonts w:hint="eastAsia" w:ascii="宋体" w:hAnsi="宋体" w:eastAsia="宋体"/>
          <w:b/>
          <w:lang w:val="zh-CN"/>
        </w:rPr>
      </w:pPr>
      <w:r>
        <w:rPr>
          <w:rFonts w:hint="eastAsia" w:ascii="宋体" w:hAnsi="宋体" w:eastAsia="宋体"/>
          <w:b/>
          <w:lang w:val="zh-CN"/>
        </w:rPr>
        <w:t>二、</w:t>
      </w:r>
      <w:r>
        <w:rPr>
          <w:rFonts w:hint="eastAsia" w:ascii="宋体" w:hAnsi="宋体" w:eastAsia="宋体"/>
          <w:b/>
          <w:lang w:val="en-US" w:eastAsia="zh-CN"/>
        </w:rPr>
        <w:t>10月</w:t>
      </w:r>
      <w:r>
        <w:rPr>
          <w:rFonts w:hint="eastAsia" w:ascii="宋体" w:hAnsi="宋体" w:eastAsia="宋体"/>
          <w:b/>
          <w:lang w:val="zh-CN"/>
        </w:rPr>
        <w:t>市场监管业务的投诉情况</w:t>
      </w:r>
    </w:p>
    <w:p w14:paraId="486394D5">
      <w:pPr>
        <w:autoSpaceDE w:val="0"/>
        <w:autoSpaceDN w:val="0"/>
        <w:adjustRightInd w:val="0"/>
        <w:snapToGrid w:val="0"/>
        <w:spacing w:line="360" w:lineRule="auto"/>
        <w:ind w:firstLine="640" w:firstLineChars="200"/>
        <w:jc w:val="left"/>
        <w:outlineLvl w:val="0"/>
        <w:rPr>
          <w:rFonts w:ascii="宋体" w:hAnsi="宋体" w:eastAsia="宋体"/>
        </w:rPr>
      </w:pPr>
      <w:r>
        <w:rPr>
          <w:rFonts w:hint="eastAsia" w:ascii="宋体" w:hAnsi="宋体" w:eastAsia="宋体"/>
        </w:rPr>
        <w:t>（一）</w:t>
      </w:r>
      <w:r>
        <w:rPr>
          <w:rFonts w:hint="eastAsia" w:ascii="宋体" w:hAnsi="宋体" w:eastAsia="宋体"/>
          <w:lang w:val="en-US" w:eastAsia="zh-CN"/>
        </w:rPr>
        <w:t>10月</w:t>
      </w:r>
      <w:r>
        <w:rPr>
          <w:rFonts w:hint="eastAsia" w:ascii="宋体" w:hAnsi="宋体" w:eastAsia="宋体"/>
        </w:rPr>
        <w:t>投诉总体情况</w:t>
      </w:r>
    </w:p>
    <w:p w14:paraId="1C0E0305">
      <w:pPr>
        <w:autoSpaceDE w:val="0"/>
        <w:autoSpaceDN w:val="0"/>
        <w:adjustRightInd w:val="0"/>
        <w:snapToGrid w:val="0"/>
        <w:spacing w:line="360" w:lineRule="auto"/>
        <w:ind w:firstLine="640" w:firstLineChars="200"/>
        <w:jc w:val="left"/>
        <w:outlineLvl w:val="0"/>
        <w:rPr>
          <w:rFonts w:hint="eastAsia" w:ascii="宋体" w:hAnsi="宋体" w:eastAsia="宋体"/>
        </w:rPr>
      </w:pPr>
      <w:r>
        <w:rPr>
          <w:rFonts w:hint="eastAsia" w:ascii="宋体" w:hAnsi="宋体" w:eastAsia="宋体"/>
          <w:lang w:val="en-US" w:eastAsia="zh-CN"/>
        </w:rPr>
        <w:t>10月</w:t>
      </w:r>
      <w:r>
        <w:rPr>
          <w:rFonts w:hint="eastAsia" w:ascii="宋体" w:hAnsi="宋体" w:eastAsia="宋体"/>
        </w:rPr>
        <w:t>共受理投诉</w:t>
      </w:r>
      <w:r>
        <w:rPr>
          <w:rFonts w:hint="eastAsia" w:ascii="宋体" w:hAnsi="宋体" w:eastAsia="宋体"/>
          <w:lang w:val="en-US" w:eastAsia="zh-CN"/>
        </w:rPr>
        <w:t>812</w:t>
      </w:r>
      <w:r>
        <w:rPr>
          <w:rFonts w:hint="eastAsia" w:ascii="宋体" w:hAnsi="宋体" w:eastAsia="宋体"/>
        </w:rPr>
        <w:t>件，其中</w:t>
      </w:r>
      <w:r>
        <w:rPr>
          <w:rFonts w:hint="eastAsia" w:ascii="宋体" w:hAnsi="宋体" w:eastAsia="宋体"/>
          <w:lang w:eastAsia="zh-CN"/>
        </w:rPr>
        <w:t>食品安全类、质量类、售后服务类</w:t>
      </w:r>
      <w:r>
        <w:rPr>
          <w:rFonts w:hint="eastAsia" w:ascii="宋体" w:hAnsi="宋体" w:eastAsia="宋体"/>
        </w:rPr>
        <w:t>居于前列。受理</w:t>
      </w:r>
      <w:r>
        <w:rPr>
          <w:rFonts w:hint="eastAsia" w:ascii="宋体" w:hAnsi="宋体" w:eastAsia="宋体"/>
          <w:lang w:val="en-US" w:eastAsia="zh-CN"/>
        </w:rPr>
        <w:t>食品安全类投诉173件，占投诉总量的21.3%；</w:t>
      </w:r>
      <w:r>
        <w:rPr>
          <w:rFonts w:hint="eastAsia" w:ascii="宋体" w:hAnsi="宋体" w:eastAsia="宋体"/>
          <w:lang w:eastAsia="zh-CN"/>
        </w:rPr>
        <w:t>质量</w:t>
      </w:r>
      <w:r>
        <w:rPr>
          <w:rFonts w:hint="eastAsia" w:ascii="宋体" w:hAnsi="宋体" w:eastAsia="宋体"/>
        </w:rPr>
        <w:t>类投诉</w:t>
      </w:r>
      <w:r>
        <w:rPr>
          <w:rFonts w:hint="eastAsia" w:ascii="宋体" w:hAnsi="宋体" w:eastAsia="宋体"/>
          <w:lang w:val="en-US" w:eastAsia="zh-CN"/>
        </w:rPr>
        <w:t>125</w:t>
      </w:r>
      <w:r>
        <w:rPr>
          <w:rFonts w:hint="eastAsia" w:ascii="宋体" w:hAnsi="宋体" w:eastAsia="宋体"/>
        </w:rPr>
        <w:t>件，占投诉总量</w:t>
      </w:r>
      <w:r>
        <w:rPr>
          <w:rFonts w:hint="eastAsia" w:ascii="宋体" w:hAnsi="宋体" w:eastAsia="宋体"/>
          <w:lang w:val="en-US" w:eastAsia="zh-CN"/>
        </w:rPr>
        <w:t>15.4</w:t>
      </w:r>
      <w:r>
        <w:rPr>
          <w:rFonts w:hint="eastAsia" w:ascii="宋体" w:hAnsi="宋体" w:eastAsia="宋体"/>
        </w:rPr>
        <w:t>%</w:t>
      </w:r>
      <w:r>
        <w:rPr>
          <w:rFonts w:hint="eastAsia" w:ascii="宋体" w:hAnsi="宋体" w:eastAsia="宋体"/>
          <w:lang w:eastAsia="zh-CN"/>
        </w:rPr>
        <w:t>；不正当竞争</w:t>
      </w:r>
      <w:r>
        <w:rPr>
          <w:rFonts w:hint="eastAsia" w:ascii="宋体" w:hAnsi="宋体" w:eastAsia="宋体"/>
        </w:rPr>
        <w:t>投诉</w:t>
      </w:r>
      <w:r>
        <w:rPr>
          <w:rFonts w:hint="eastAsia" w:ascii="宋体" w:hAnsi="宋体" w:eastAsia="宋体"/>
          <w:lang w:val="en-US" w:eastAsia="zh-CN"/>
        </w:rPr>
        <w:t>63</w:t>
      </w:r>
      <w:r>
        <w:rPr>
          <w:rFonts w:hint="eastAsia" w:ascii="宋体" w:hAnsi="宋体" w:eastAsia="宋体"/>
        </w:rPr>
        <w:t>件，占投诉总量的</w:t>
      </w:r>
      <w:r>
        <w:rPr>
          <w:rFonts w:hint="eastAsia" w:ascii="宋体" w:hAnsi="宋体" w:eastAsia="宋体"/>
          <w:lang w:val="en-US" w:eastAsia="zh-CN"/>
        </w:rPr>
        <w:t>8.4</w:t>
      </w:r>
      <w:r>
        <w:rPr>
          <w:rFonts w:hint="eastAsia" w:ascii="宋体" w:hAnsi="宋体" w:eastAsia="宋体"/>
        </w:rPr>
        <w:t>%</w:t>
      </w:r>
      <w:r>
        <w:rPr>
          <w:rFonts w:hint="eastAsia" w:ascii="宋体" w:hAnsi="宋体" w:eastAsia="宋体"/>
          <w:lang w:eastAsia="zh-CN"/>
        </w:rPr>
        <w:t>；</w:t>
      </w:r>
      <w:r>
        <w:rPr>
          <w:rFonts w:hint="eastAsia" w:ascii="宋体" w:hAnsi="宋体" w:eastAsia="宋体"/>
        </w:rPr>
        <w:t>其他类投诉</w:t>
      </w:r>
      <w:r>
        <w:rPr>
          <w:rFonts w:hint="eastAsia" w:ascii="宋体" w:hAnsi="宋体" w:eastAsia="宋体"/>
          <w:lang w:val="en-US" w:eastAsia="zh-CN"/>
        </w:rPr>
        <w:t>253</w:t>
      </w:r>
      <w:r>
        <w:rPr>
          <w:rFonts w:hint="eastAsia" w:ascii="宋体" w:hAnsi="宋体" w:eastAsia="宋体"/>
        </w:rPr>
        <w:t>件，占投诉总量的</w:t>
      </w:r>
      <w:r>
        <w:rPr>
          <w:rFonts w:hint="eastAsia" w:ascii="宋体" w:hAnsi="宋体" w:eastAsia="宋体"/>
          <w:lang w:val="en-US" w:eastAsia="zh-CN"/>
        </w:rPr>
        <w:t>31.2</w:t>
      </w:r>
      <w:r>
        <w:rPr>
          <w:rFonts w:hint="eastAsia" w:ascii="宋体" w:hAnsi="宋体" w:eastAsia="宋体"/>
        </w:rPr>
        <w:t>%。</w:t>
      </w:r>
    </w:p>
    <w:p w14:paraId="0DA14CA2">
      <w:pPr>
        <w:pStyle w:val="8"/>
        <w:spacing w:line="360" w:lineRule="auto"/>
        <w:ind w:firstLine="562" w:firstLineChars="200"/>
        <w:jc w:val="center"/>
        <w:rPr>
          <w:rFonts w:hint="eastAsia" w:ascii="宋体" w:hAnsi="宋体" w:eastAsia="宋体"/>
        </w:rPr>
      </w:pPr>
      <w:r>
        <w:rPr>
          <w:rFonts w:hint="eastAsia" w:ascii="宋体" w:hAnsi="宋体" w:eastAsia="宋体"/>
          <w:b/>
          <w:sz w:val="28"/>
          <w:szCs w:val="28"/>
        </w:rPr>
        <w:t>图</w:t>
      </w:r>
      <w:r>
        <w:rPr>
          <w:rFonts w:hint="eastAsia"/>
          <w:b/>
          <w:sz w:val="28"/>
          <w:szCs w:val="28"/>
          <w:lang w:eastAsia="zh-CN"/>
        </w:rPr>
        <w:t>二</w:t>
      </w:r>
      <w:r>
        <w:rPr>
          <w:rFonts w:hint="eastAsia" w:ascii="宋体" w:hAnsi="宋体" w:eastAsia="宋体"/>
          <w:b/>
          <w:sz w:val="28"/>
          <w:szCs w:val="28"/>
        </w:rPr>
        <w:t>、</w:t>
      </w:r>
      <w:r>
        <w:rPr>
          <w:rFonts w:hint="eastAsia"/>
          <w:b/>
          <w:sz w:val="28"/>
          <w:szCs w:val="28"/>
          <w:lang w:val="en-US" w:eastAsia="zh-CN"/>
        </w:rPr>
        <w:t>10月</w:t>
      </w:r>
      <w:r>
        <w:rPr>
          <w:rFonts w:hint="eastAsia" w:ascii="宋体" w:hAnsi="宋体" w:eastAsia="宋体"/>
          <w:b/>
          <w:sz w:val="28"/>
          <w:szCs w:val="28"/>
        </w:rPr>
        <w:t>投诉问题分类图</w:t>
      </w:r>
      <w:r>
        <w:rPr>
          <w:rFonts w:hint="eastAsia" w:cs="Times New Roman"/>
          <w:b/>
          <w:kern w:val="2"/>
          <w:sz w:val="28"/>
          <w:szCs w:val="28"/>
        </w:rPr>
        <w:t>（单位：件）</w:t>
      </w:r>
    </w:p>
    <w:p w14:paraId="0B4B9849">
      <w:pPr>
        <w:autoSpaceDE w:val="0"/>
        <w:autoSpaceDN w:val="0"/>
        <w:adjustRightInd w:val="0"/>
        <w:snapToGrid w:val="0"/>
        <w:spacing w:line="360" w:lineRule="auto"/>
        <w:jc w:val="left"/>
        <w:outlineLvl w:val="0"/>
        <w:rPr>
          <w:rFonts w:ascii="宋体" w:hAnsi="宋体" w:eastAsia="宋体"/>
        </w:rPr>
      </w:pPr>
      <w:r>
        <w:drawing>
          <wp:inline distT="0" distB="0" distL="114300" distR="114300">
            <wp:extent cx="5297805" cy="2360295"/>
            <wp:effectExtent l="4445" t="4445" r="12700" b="16510"/>
            <wp:docPr id="506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F885C82">
      <w:pPr>
        <w:jc w:val="center"/>
        <w:rPr>
          <w:rFonts w:ascii="宋体" w:hAnsi="宋体" w:eastAsia="宋体"/>
          <w:b/>
          <w:sz w:val="24"/>
          <w:lang w:val="zh-CN"/>
        </w:rPr>
      </w:pPr>
    </w:p>
    <w:p w14:paraId="10369C70">
      <w:pPr>
        <w:autoSpaceDE w:val="0"/>
        <w:autoSpaceDN w:val="0"/>
        <w:adjustRightInd w:val="0"/>
        <w:snapToGrid w:val="0"/>
        <w:spacing w:line="360" w:lineRule="auto"/>
        <w:ind w:firstLine="640" w:firstLineChars="200"/>
        <w:jc w:val="left"/>
        <w:outlineLvl w:val="0"/>
        <w:rPr>
          <w:rFonts w:ascii="宋体" w:hAnsi="宋体" w:eastAsia="宋体"/>
        </w:rPr>
      </w:pPr>
      <w:r>
        <w:rPr>
          <w:rFonts w:hint="eastAsia" w:ascii="宋体" w:hAnsi="宋体" w:eastAsia="宋体"/>
        </w:rPr>
        <w:t>（二）商品消费类投诉热点</w:t>
      </w:r>
    </w:p>
    <w:p w14:paraId="31436644">
      <w:pPr>
        <w:autoSpaceDE w:val="0"/>
        <w:autoSpaceDN w:val="0"/>
        <w:adjustRightInd w:val="0"/>
        <w:snapToGrid w:val="0"/>
        <w:spacing w:line="360" w:lineRule="auto"/>
        <w:ind w:firstLine="640" w:firstLineChars="200"/>
        <w:jc w:val="left"/>
        <w:outlineLvl w:val="0"/>
        <w:rPr>
          <w:rFonts w:hint="default" w:ascii="宋体" w:hAnsi="宋体" w:eastAsia="宋体"/>
          <w:lang w:val="en-US" w:eastAsia="zh-CN"/>
        </w:rPr>
      </w:pPr>
      <w:r>
        <w:rPr>
          <w:rFonts w:hint="eastAsia" w:ascii="宋体" w:hAnsi="宋体" w:eastAsia="宋体"/>
          <w:lang w:val="en-US" w:eastAsia="zh-CN"/>
        </w:rPr>
        <w:t>10月</w:t>
      </w:r>
      <w:r>
        <w:rPr>
          <w:rFonts w:hint="eastAsia" w:ascii="宋体" w:hAnsi="宋体" w:eastAsia="宋体"/>
        </w:rPr>
        <w:t>受理商品消费类投诉共</w:t>
      </w:r>
      <w:r>
        <w:rPr>
          <w:rFonts w:hint="eastAsia" w:ascii="宋体" w:hAnsi="宋体" w:eastAsia="宋体"/>
          <w:lang w:val="en-US" w:eastAsia="zh-CN"/>
        </w:rPr>
        <w:t>518</w:t>
      </w:r>
      <w:r>
        <w:rPr>
          <w:rFonts w:hint="eastAsia" w:ascii="宋体" w:hAnsi="宋体" w:eastAsia="宋体"/>
        </w:rPr>
        <w:t>件，占投诉总量的</w:t>
      </w:r>
      <w:r>
        <w:rPr>
          <w:rFonts w:hint="eastAsia" w:ascii="宋体" w:hAnsi="宋体" w:eastAsia="宋体"/>
          <w:lang w:val="en-US" w:eastAsia="zh-CN"/>
        </w:rPr>
        <w:t>63.8</w:t>
      </w:r>
      <w:r>
        <w:rPr>
          <w:rFonts w:hint="eastAsia" w:ascii="宋体" w:hAnsi="宋体" w:eastAsia="宋体"/>
        </w:rPr>
        <w:t>%。其中食品问题投诉以</w:t>
      </w:r>
      <w:r>
        <w:rPr>
          <w:rFonts w:hint="eastAsia" w:ascii="宋体" w:hAnsi="宋体" w:eastAsia="宋体"/>
          <w:lang w:val="en-US" w:eastAsia="zh-CN"/>
        </w:rPr>
        <w:t>196</w:t>
      </w:r>
      <w:r>
        <w:rPr>
          <w:rFonts w:hint="eastAsia" w:ascii="宋体" w:hAnsi="宋体" w:eastAsia="宋体"/>
        </w:rPr>
        <w:t>件成为商品消费者类投诉第一</w:t>
      </w:r>
      <w:r>
        <w:rPr>
          <w:rFonts w:hint="eastAsia" w:ascii="宋体" w:hAnsi="宋体" w:eastAsia="宋体"/>
          <w:lang w:eastAsia="zh-CN"/>
        </w:rPr>
        <w:t>热点</w:t>
      </w:r>
      <w:r>
        <w:rPr>
          <w:rFonts w:hint="eastAsia" w:ascii="宋体" w:hAnsi="宋体" w:eastAsia="宋体"/>
        </w:rPr>
        <w:t>，涉及食品贮存条件差、食物有异味、变质等问题</w:t>
      </w:r>
      <w:r>
        <w:rPr>
          <w:rFonts w:hint="eastAsia" w:ascii="宋体" w:hAnsi="宋体" w:eastAsia="宋体"/>
          <w:lang w:eastAsia="zh-CN"/>
        </w:rPr>
        <w:t>。</w:t>
      </w:r>
      <w:r>
        <w:rPr>
          <w:rFonts w:hint="eastAsia" w:ascii="宋体" w:hAnsi="宋体" w:eastAsia="宋体"/>
        </w:rPr>
        <w:t>服饰</w:t>
      </w:r>
      <w:r>
        <w:rPr>
          <w:rFonts w:hint="eastAsia" w:ascii="宋体" w:hAnsi="宋体" w:eastAsia="宋体"/>
          <w:lang w:eastAsia="zh-CN"/>
        </w:rPr>
        <w:t>、</w:t>
      </w:r>
      <w:r>
        <w:rPr>
          <w:rFonts w:hint="eastAsia" w:ascii="宋体" w:hAnsi="宋体" w:eastAsia="宋体"/>
        </w:rPr>
        <w:t>鞋帽类投诉</w:t>
      </w:r>
      <w:r>
        <w:rPr>
          <w:rFonts w:hint="eastAsia" w:ascii="宋体" w:hAnsi="宋体" w:eastAsia="宋体"/>
          <w:lang w:val="en-US" w:eastAsia="zh-CN"/>
        </w:rPr>
        <w:t>71</w:t>
      </w:r>
      <w:r>
        <w:rPr>
          <w:rFonts w:hint="eastAsia" w:ascii="宋体" w:hAnsi="宋体" w:eastAsia="宋体"/>
        </w:rPr>
        <w:t>件，主要</w:t>
      </w:r>
      <w:r>
        <w:rPr>
          <w:rFonts w:hint="eastAsia" w:ascii="宋体" w:hAnsi="宋体" w:eastAsia="宋体"/>
          <w:lang w:eastAsia="zh-CN"/>
        </w:rPr>
        <w:t>涉及</w:t>
      </w:r>
      <w:r>
        <w:rPr>
          <w:rFonts w:hint="eastAsia" w:ascii="宋体" w:hAnsi="宋体" w:eastAsia="宋体"/>
        </w:rPr>
        <w:t>产品存在质量问题，如服装做工粗糙、开线、掉色、面料成分不实、纺织品缩水，鞋类表皮开裂、脱胶、断底</w:t>
      </w:r>
      <w:r>
        <w:rPr>
          <w:rFonts w:hint="eastAsia" w:ascii="宋体" w:hAnsi="宋体" w:eastAsia="宋体"/>
          <w:lang w:eastAsia="zh-CN"/>
        </w:rPr>
        <w:t>。交通工具类投诉</w:t>
      </w:r>
      <w:r>
        <w:rPr>
          <w:rFonts w:hint="eastAsia" w:ascii="宋体" w:hAnsi="宋体" w:eastAsia="宋体"/>
          <w:lang w:val="en-US" w:eastAsia="zh-CN"/>
        </w:rPr>
        <w:t>39件，主要涉及</w:t>
      </w:r>
      <w:r>
        <w:rPr>
          <w:rFonts w:hint="eastAsia" w:ascii="宋体" w:hAnsi="宋体" w:eastAsia="宋体"/>
          <w:lang w:eastAsia="zh-CN"/>
        </w:rPr>
        <w:t>消费者预付定金购买车辆后，不能按时提车，商家不予解决也不予退款；汽车“三包”期内，车辆出现发动机抖动、漏油、变速箱异响等质量问题，经销商强制搭售保险或续保押金到期后未按合同约定及时履行退款义务</w:t>
      </w:r>
      <w:r>
        <w:rPr>
          <w:rFonts w:hint="eastAsia" w:ascii="宋体" w:hAnsi="宋体" w:eastAsia="宋体"/>
          <w:lang w:val="en-US" w:eastAsia="zh-CN"/>
        </w:rPr>
        <w:t>等问题。</w:t>
      </w:r>
      <w:r>
        <w:rPr>
          <w:rFonts w:hint="eastAsia" w:ascii="宋体" w:hAnsi="宋体" w:eastAsia="宋体"/>
          <w:lang w:eastAsia="zh-CN"/>
        </w:rPr>
        <w:t>家居用品类投诉</w:t>
      </w:r>
      <w:r>
        <w:rPr>
          <w:rFonts w:hint="eastAsia" w:ascii="宋体" w:hAnsi="宋体" w:eastAsia="宋体"/>
          <w:lang w:val="en-US" w:eastAsia="zh-CN"/>
        </w:rPr>
        <w:t>33件，主要</w:t>
      </w:r>
      <w:r>
        <w:rPr>
          <w:rFonts w:hint="eastAsia" w:ascii="宋体" w:hAnsi="宋体" w:eastAsia="宋体"/>
          <w:lang w:eastAsia="zh-CN"/>
        </w:rPr>
        <w:t>涉及</w:t>
      </w:r>
      <w:r>
        <w:rPr>
          <w:rFonts w:hint="eastAsia" w:ascii="宋体" w:hAnsi="宋体" w:eastAsia="宋体"/>
          <w:lang w:val="en-US" w:eastAsia="zh-CN"/>
        </w:rPr>
        <w:t>定金侵权行为；</w:t>
      </w:r>
      <w:r>
        <w:rPr>
          <w:rFonts w:hint="eastAsia" w:ascii="宋体" w:hAnsi="宋体" w:eastAsia="宋体"/>
          <w:color w:val="auto"/>
          <w:lang w:eastAsia="zh-CN"/>
        </w:rPr>
        <w:t>商家拖延送货，不能在规定的时限内送货上门；</w:t>
      </w:r>
      <w:r>
        <w:rPr>
          <w:rFonts w:hint="eastAsia" w:ascii="宋体" w:hAnsi="宋体" w:eastAsia="宋体"/>
          <w:lang w:val="en-US" w:eastAsia="zh-CN"/>
        </w:rPr>
        <w:t>实际收到的商品与</w:t>
      </w:r>
      <w:r>
        <w:rPr>
          <w:rFonts w:hint="eastAsia" w:ascii="宋体" w:hAnsi="宋体" w:eastAsia="宋体"/>
          <w:color w:val="auto"/>
          <w:lang w:eastAsia="zh-CN"/>
        </w:rPr>
        <w:t>当初定制的商品偏差较大；产品存在外观破损、开裂、褪色；售后过程中的问题，包括商家拖延或推卸履行三包义务等问题。</w:t>
      </w:r>
      <w:r>
        <w:rPr>
          <w:rFonts w:hint="eastAsia" w:ascii="宋体" w:hAnsi="宋体" w:eastAsia="宋体"/>
          <w:lang w:val="en-US" w:eastAsia="zh-CN"/>
        </w:rPr>
        <w:t>其他商品类投诉60件。</w:t>
      </w:r>
    </w:p>
    <w:p w14:paraId="062273BC">
      <w:pPr>
        <w:ind w:left="131" w:leftChars="41" w:right="-874" w:rightChars="-273" w:firstLine="1405" w:firstLineChars="500"/>
        <w:jc w:val="both"/>
        <w:rPr>
          <w:rFonts w:ascii="宋体" w:hAnsi="宋体" w:eastAsia="宋体"/>
        </w:rPr>
      </w:pPr>
      <w:r>
        <w:rPr>
          <w:rFonts w:hint="eastAsia" w:ascii="宋体" w:hAnsi="宋体" w:eastAsia="宋体"/>
          <w:b/>
          <w:sz w:val="28"/>
          <w:szCs w:val="28"/>
        </w:rPr>
        <w:t>图</w:t>
      </w:r>
      <w:r>
        <w:rPr>
          <w:rFonts w:hint="eastAsia" w:ascii="宋体" w:hAnsi="宋体" w:eastAsia="宋体"/>
          <w:b/>
          <w:sz w:val="28"/>
          <w:szCs w:val="28"/>
          <w:lang w:eastAsia="zh-CN"/>
        </w:rPr>
        <w:t>三</w:t>
      </w:r>
      <w:r>
        <w:rPr>
          <w:rFonts w:hint="eastAsia" w:ascii="宋体" w:hAnsi="宋体" w:eastAsia="宋体"/>
          <w:b/>
          <w:sz w:val="28"/>
          <w:szCs w:val="28"/>
        </w:rPr>
        <w:t>、</w:t>
      </w:r>
      <w:r>
        <w:rPr>
          <w:rFonts w:hint="eastAsia" w:ascii="宋体" w:hAnsi="宋体" w:eastAsia="宋体"/>
          <w:b/>
          <w:sz w:val="28"/>
          <w:szCs w:val="28"/>
          <w:lang w:val="en-US" w:eastAsia="zh-CN"/>
        </w:rPr>
        <w:t>10月</w:t>
      </w:r>
      <w:r>
        <w:rPr>
          <w:rFonts w:hint="eastAsia" w:ascii="宋体" w:hAnsi="宋体" w:eastAsia="宋体"/>
          <w:b/>
          <w:sz w:val="28"/>
          <w:szCs w:val="28"/>
        </w:rPr>
        <w:t>商品类投诉热点情况图（单位：件）</w:t>
      </w:r>
    </w:p>
    <w:p w14:paraId="5A693A65">
      <w:pPr>
        <w:ind w:left="429" w:leftChars="-9" w:right="-874" w:rightChars="-273" w:hanging="458"/>
        <w:jc w:val="both"/>
        <w:rPr>
          <w:rFonts w:hint="eastAsia" w:ascii="宋体" w:hAnsi="宋体" w:eastAsia="宋体"/>
          <w:lang w:val="zh-CN"/>
        </w:rPr>
      </w:pPr>
      <w:r>
        <w:drawing>
          <wp:inline distT="0" distB="0" distL="114300" distR="114300">
            <wp:extent cx="5024755" cy="1605915"/>
            <wp:effectExtent l="4445" t="4445" r="19050" b="8890"/>
            <wp:docPr id="5061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CE789F5">
      <w:pPr>
        <w:widowControl/>
        <w:spacing w:line="360" w:lineRule="auto"/>
        <w:ind w:right="131" w:rightChars="41" w:firstLine="640" w:firstLineChars="200"/>
        <w:jc w:val="left"/>
        <w:rPr>
          <w:rFonts w:ascii="宋体" w:hAnsi="宋体" w:eastAsia="宋体"/>
          <w:lang w:val="zh-CN"/>
        </w:rPr>
      </w:pPr>
      <w:r>
        <w:rPr>
          <w:rFonts w:hint="eastAsia" w:ascii="宋体" w:hAnsi="宋体" w:eastAsia="宋体"/>
          <w:lang w:val="zh-CN"/>
        </w:rPr>
        <w:t>（三）服务消费类投诉热点</w:t>
      </w:r>
    </w:p>
    <w:p w14:paraId="2AD06E46">
      <w:pPr>
        <w:widowControl/>
        <w:spacing w:line="360" w:lineRule="auto"/>
        <w:ind w:right="131" w:rightChars="41" w:firstLine="640" w:firstLineChars="200"/>
        <w:jc w:val="left"/>
        <w:rPr>
          <w:rFonts w:hint="default" w:ascii="宋体" w:hAnsi="宋体" w:eastAsia="宋体"/>
          <w:lang w:val="en-US" w:eastAsia="zh-CN"/>
        </w:rPr>
      </w:pPr>
      <w:r>
        <w:rPr>
          <w:rFonts w:hint="eastAsia" w:ascii="宋体" w:hAnsi="宋体" w:eastAsia="宋体"/>
          <w:lang w:val="en-US" w:eastAsia="zh-CN"/>
        </w:rPr>
        <w:t>10月</w:t>
      </w:r>
      <w:r>
        <w:rPr>
          <w:rFonts w:hint="eastAsia" w:ascii="宋体" w:hAnsi="宋体" w:eastAsia="宋体"/>
          <w:lang w:val="zh-CN"/>
        </w:rPr>
        <w:t>受理服务消费投诉</w:t>
      </w:r>
      <w:r>
        <w:rPr>
          <w:rFonts w:hint="eastAsia" w:ascii="宋体" w:hAnsi="宋体" w:eastAsia="宋体"/>
          <w:lang w:val="en-US" w:eastAsia="zh-CN"/>
        </w:rPr>
        <w:t>294</w:t>
      </w:r>
      <w:r>
        <w:rPr>
          <w:rFonts w:hint="eastAsia" w:ascii="宋体" w:hAnsi="宋体" w:eastAsia="宋体"/>
          <w:lang w:val="zh-CN"/>
        </w:rPr>
        <w:t>件，占投诉总量</w:t>
      </w:r>
      <w:r>
        <w:rPr>
          <w:rFonts w:hint="eastAsia" w:ascii="宋体" w:hAnsi="宋体" w:eastAsia="宋体"/>
          <w:lang w:val="en-US" w:eastAsia="zh-CN"/>
        </w:rPr>
        <w:t>36.2</w:t>
      </w:r>
      <w:r>
        <w:rPr>
          <w:rFonts w:hint="eastAsia" w:ascii="宋体" w:hAnsi="宋体" w:eastAsia="宋体"/>
          <w:lang w:val="zh-CN"/>
        </w:rPr>
        <w:t>%。投诉第一大热点是餐饮和住宿服务，共计投诉</w:t>
      </w:r>
      <w:r>
        <w:rPr>
          <w:rFonts w:hint="eastAsia" w:ascii="宋体" w:hAnsi="宋体" w:eastAsia="宋体"/>
          <w:lang w:val="en-US" w:eastAsia="zh-CN"/>
        </w:rPr>
        <w:t>71</w:t>
      </w:r>
      <w:r>
        <w:rPr>
          <w:rFonts w:hint="eastAsia" w:ascii="宋体" w:hAnsi="宋体" w:eastAsia="宋体"/>
          <w:lang w:val="zh-CN"/>
        </w:rPr>
        <w:t>件，涉及餐饮场所食品加工和就餐环境卫生差，商家未提前告知相关收费标准和项目，导致顾客被动消费、额外消费和住宿房间卫生不达标，引发退房纠纷等问题。电信服务类投诉</w:t>
      </w:r>
      <w:r>
        <w:rPr>
          <w:rFonts w:hint="eastAsia" w:ascii="宋体" w:hAnsi="宋体" w:eastAsia="宋体"/>
          <w:lang w:val="en-US" w:eastAsia="zh-CN"/>
        </w:rPr>
        <w:t>36件，涉及网络充值未到账等问题。美容、美发、洗浴服务类</w:t>
      </w:r>
      <w:r>
        <w:rPr>
          <w:rFonts w:hint="eastAsia" w:ascii="宋体" w:hAnsi="宋体" w:eastAsia="宋体"/>
          <w:lang w:val="zh-CN"/>
        </w:rPr>
        <w:t>投诉</w:t>
      </w:r>
      <w:r>
        <w:rPr>
          <w:rFonts w:hint="eastAsia" w:ascii="宋体" w:hAnsi="宋体" w:eastAsia="宋体"/>
          <w:lang w:val="en-US" w:eastAsia="zh-CN"/>
        </w:rPr>
        <w:t>31</w:t>
      </w:r>
      <w:r>
        <w:rPr>
          <w:rFonts w:hint="eastAsia" w:ascii="宋体" w:hAnsi="宋体" w:eastAsia="宋体"/>
          <w:lang w:val="zh-CN"/>
        </w:rPr>
        <w:t>件，</w:t>
      </w:r>
      <w:r>
        <w:rPr>
          <w:rFonts w:hint="eastAsia" w:ascii="宋体" w:hAnsi="宋体" w:eastAsia="宋体"/>
          <w:lang w:val="en-US" w:eastAsia="zh-CN"/>
        </w:rPr>
        <w:t>涉及美发卡充值不退费，商家关门，洗浴中心更换老板、售后等问题。文化、娱乐、体育服务类投诉23件，涉及消费者常常在办理健身服务预付卡后商家关门，或倒闭停业，和娱乐场所禁止携带酒水等问题。</w:t>
      </w:r>
      <w:r>
        <w:rPr>
          <w:rFonts w:hint="eastAsia" w:ascii="宋体" w:hAnsi="宋体" w:eastAsia="宋体"/>
          <w:lang w:val="zh-CN" w:eastAsia="zh-CN"/>
        </w:rPr>
        <w:t>其他服务类投诉</w:t>
      </w:r>
      <w:r>
        <w:rPr>
          <w:rFonts w:hint="eastAsia" w:ascii="宋体" w:hAnsi="宋体" w:eastAsia="宋体"/>
          <w:lang w:val="en-US" w:eastAsia="zh-CN"/>
        </w:rPr>
        <w:t>47</w:t>
      </w:r>
      <w:r>
        <w:rPr>
          <w:rFonts w:hint="eastAsia" w:ascii="宋体" w:hAnsi="宋体" w:eastAsia="宋体"/>
          <w:lang w:val="zh-CN" w:eastAsia="zh-CN"/>
        </w:rPr>
        <w:t>件，涉及商家拖延、推诿履行售后服务，</w:t>
      </w:r>
      <w:r>
        <w:rPr>
          <w:rFonts w:hint="eastAsia" w:ascii="宋体" w:hAnsi="宋体" w:eastAsia="宋体"/>
          <w:lang w:val="en-US" w:eastAsia="zh-CN"/>
        </w:rPr>
        <w:t>预付费，网上购物，价格等问题。</w:t>
      </w:r>
    </w:p>
    <w:p w14:paraId="12E32D53">
      <w:pPr>
        <w:widowControl/>
        <w:spacing w:line="360" w:lineRule="auto"/>
        <w:ind w:right="131" w:rightChars="41"/>
        <w:jc w:val="center"/>
        <w:rPr>
          <w:rFonts w:ascii="宋体" w:hAnsi="宋体" w:eastAsia="宋体"/>
          <w:b/>
          <w:sz w:val="28"/>
          <w:szCs w:val="28"/>
          <w:lang w:val="zh-CN"/>
        </w:rPr>
      </w:pPr>
      <w:r>
        <w:rPr>
          <w:rFonts w:hint="eastAsia" w:ascii="宋体" w:hAnsi="宋体" w:eastAsia="宋体"/>
          <w:b/>
          <w:sz w:val="28"/>
          <w:szCs w:val="28"/>
          <w:lang w:val="zh-CN"/>
        </w:rPr>
        <w:t>图四、</w:t>
      </w:r>
      <w:r>
        <w:rPr>
          <w:rFonts w:hint="eastAsia" w:ascii="宋体" w:hAnsi="宋体" w:eastAsia="宋体"/>
          <w:b/>
          <w:sz w:val="28"/>
          <w:szCs w:val="28"/>
          <w:lang w:val="en-US" w:eastAsia="zh-CN"/>
        </w:rPr>
        <w:t>10月</w:t>
      </w:r>
      <w:r>
        <w:rPr>
          <w:rFonts w:hint="eastAsia" w:ascii="宋体" w:hAnsi="宋体" w:eastAsia="宋体"/>
          <w:b/>
          <w:sz w:val="28"/>
          <w:szCs w:val="28"/>
          <w:lang w:val="zh-CN"/>
        </w:rPr>
        <w:t>服务类投诉热点情况图（单位：件）</w:t>
      </w:r>
    </w:p>
    <w:p w14:paraId="462A3DA1">
      <w:pPr>
        <w:widowControl/>
        <w:spacing w:line="360" w:lineRule="auto"/>
        <w:ind w:right="131" w:rightChars="41"/>
      </w:pPr>
      <w:bookmarkStart w:id="1" w:name="_Toc460571230"/>
      <w:bookmarkStart w:id="2" w:name="_Toc463018721"/>
      <w:r>
        <w:drawing>
          <wp:inline distT="0" distB="0" distL="114300" distR="114300">
            <wp:extent cx="5053965" cy="1664335"/>
            <wp:effectExtent l="5080" t="4445" r="8255" b="7620"/>
            <wp:docPr id="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164DEC1">
      <w:pPr>
        <w:ind w:right="-874" w:rightChars="-273" w:firstLine="643" w:firstLineChars="200"/>
        <w:jc w:val="left"/>
        <w:outlineLvl w:val="0"/>
        <w:rPr>
          <w:rFonts w:hint="eastAsia" w:ascii="宋体" w:hAnsi="宋体" w:eastAsia="宋体"/>
          <w:b/>
          <w:lang w:eastAsia="zh-CN"/>
        </w:rPr>
      </w:pPr>
    </w:p>
    <w:p w14:paraId="314F4001">
      <w:pPr>
        <w:ind w:right="-874" w:rightChars="-273" w:firstLine="643" w:firstLineChars="200"/>
        <w:jc w:val="left"/>
        <w:outlineLvl w:val="0"/>
        <w:rPr>
          <w:rFonts w:ascii="宋体" w:hAnsi="宋体" w:eastAsia="宋体"/>
          <w:b/>
        </w:rPr>
      </w:pPr>
      <w:r>
        <w:rPr>
          <w:rFonts w:hint="eastAsia" w:ascii="宋体" w:hAnsi="宋体" w:eastAsia="宋体"/>
          <w:b/>
          <w:lang w:eastAsia="zh-CN"/>
        </w:rPr>
        <w:t>三</w:t>
      </w:r>
      <w:r>
        <w:rPr>
          <w:rFonts w:hint="eastAsia" w:ascii="宋体" w:hAnsi="宋体" w:eastAsia="宋体"/>
          <w:b/>
        </w:rPr>
        <w:t>、举报问题</w:t>
      </w:r>
    </w:p>
    <w:p w14:paraId="2B0FAB78">
      <w:pPr>
        <w:widowControl/>
        <w:spacing w:line="360" w:lineRule="auto"/>
        <w:ind w:right="131" w:rightChars="41" w:firstLine="640" w:firstLineChars="200"/>
        <w:jc w:val="left"/>
        <w:rPr>
          <w:rFonts w:hint="eastAsia" w:ascii="宋体" w:hAnsi="宋体" w:eastAsia="宋体"/>
          <w:color w:val="auto"/>
          <w:lang w:val="en-US" w:eastAsia="zh-CN"/>
        </w:rPr>
      </w:pPr>
      <w:r>
        <w:rPr>
          <w:rFonts w:hint="eastAsia" w:ascii="宋体" w:hAnsi="宋体" w:eastAsia="宋体"/>
          <w:lang w:val="en-US" w:eastAsia="zh-CN"/>
        </w:rPr>
        <w:t>10月</w:t>
      </w:r>
      <w:r>
        <w:rPr>
          <w:rFonts w:hint="eastAsia" w:ascii="宋体" w:hAnsi="宋体" w:eastAsia="宋体"/>
          <w:lang w:val="zh-CN" w:eastAsia="zh-CN"/>
        </w:rPr>
        <w:t>济源示范区场监督管理局12315指挥中心共受理群众举报</w:t>
      </w:r>
      <w:r>
        <w:rPr>
          <w:rFonts w:hint="eastAsia" w:ascii="宋体" w:hAnsi="宋体" w:eastAsia="宋体"/>
          <w:lang w:val="en-US" w:eastAsia="zh-CN"/>
        </w:rPr>
        <w:t>54件</w:t>
      </w:r>
      <w:r>
        <w:rPr>
          <w:rFonts w:hint="eastAsia" w:ascii="宋体" w:hAnsi="宋体" w:eastAsia="宋体"/>
          <w:lang w:val="zh-CN" w:eastAsia="zh-CN"/>
        </w:rPr>
        <w:t>。排前三的热点是其他市场监管领域违法行为、食品安全违法行为和侵害消费者权益行为。举报内容主要涉及：</w:t>
      </w:r>
      <w:r>
        <w:rPr>
          <w:rFonts w:hint="eastAsia" w:ascii="宋体" w:hAnsi="宋体" w:eastAsia="宋体"/>
          <w:color w:val="auto"/>
          <w:lang w:val="en-US" w:eastAsia="zh-CN"/>
        </w:rPr>
        <w:t>商家聚集老年人，高价售卖商品，虚假宣传；化妆品广告内容不真实、不健康、不科学准确，欺骗并误导消费者；应当取得而未依法取得行政许可和营业执照的；生产、销售不符合保障人身、财产安全要求的商品；商品掺杂掺假、以假充真、以次充好，冒充合格商品；销售失效、变质的产品；销售腐败变质、油脂酸败、霉变生虫、污秽不洁、混有异物、掺假掺杂或者感官性状异常的食品；销售无标签的预包装食品；餐饮经营场所环境不整洁，存在明显的有害生物活动迹象等问题。</w:t>
      </w:r>
    </w:p>
    <w:p w14:paraId="0ACDEF93">
      <w:pPr>
        <w:widowControl/>
        <w:spacing w:line="360" w:lineRule="auto"/>
        <w:ind w:right="131" w:rightChars="41" w:firstLine="640" w:firstLineChars="200"/>
        <w:jc w:val="left"/>
        <w:rPr>
          <w:rFonts w:hint="eastAsia" w:ascii="宋体" w:hAnsi="宋体" w:eastAsia="宋体"/>
          <w:lang w:val="en-US" w:eastAsia="zh-CN"/>
        </w:rPr>
      </w:pPr>
    </w:p>
    <w:p w14:paraId="43BB6598">
      <w:pPr>
        <w:widowControl/>
        <w:spacing w:line="360" w:lineRule="auto"/>
        <w:ind w:right="131" w:rightChars="41" w:firstLine="643" w:firstLineChars="200"/>
        <w:jc w:val="center"/>
      </w:pPr>
      <w:r>
        <w:rPr>
          <w:rFonts w:hint="eastAsia" w:ascii="宋体" w:hAnsi="宋体" w:eastAsia="宋体"/>
          <w:b/>
          <w:bCs/>
          <w:lang w:val="zh-CN" w:eastAsia="zh-CN"/>
        </w:rPr>
        <w:t>图五、</w:t>
      </w:r>
      <w:r>
        <w:rPr>
          <w:rFonts w:hint="eastAsia" w:ascii="宋体" w:hAnsi="宋体" w:eastAsia="宋体"/>
          <w:b/>
          <w:bCs/>
          <w:lang w:val="en-US" w:eastAsia="zh-CN"/>
        </w:rPr>
        <w:t>10月</w:t>
      </w:r>
      <w:r>
        <w:rPr>
          <w:rFonts w:hint="eastAsia" w:ascii="宋体" w:hAnsi="宋体" w:eastAsia="宋体"/>
          <w:b/>
          <w:bCs/>
          <w:lang w:val="zh-CN" w:eastAsia="zh-CN"/>
        </w:rPr>
        <w:t>举报问题分类图</w:t>
      </w:r>
      <w:bookmarkEnd w:id="1"/>
      <w:bookmarkEnd w:id="2"/>
    </w:p>
    <w:p w14:paraId="1E680522">
      <w:pPr>
        <w:widowControl/>
        <w:spacing w:line="360" w:lineRule="auto"/>
        <w:ind w:right="131" w:rightChars="41"/>
        <w:jc w:val="left"/>
        <w:rPr>
          <w:rFonts w:ascii="宋体" w:hAnsi="宋体" w:eastAsia="宋体"/>
          <w:lang w:val="zh-CN"/>
        </w:rPr>
      </w:pPr>
      <w:r>
        <w:drawing>
          <wp:inline distT="0" distB="0" distL="114300" distR="114300">
            <wp:extent cx="4953000" cy="3216910"/>
            <wp:effectExtent l="4445" t="4445" r="14605" b="17145"/>
            <wp:docPr id="5062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2A3DF7">
      <w:pPr>
        <w:widowControl/>
        <w:spacing w:line="360" w:lineRule="auto"/>
        <w:ind w:right="131" w:rightChars="41"/>
        <w:jc w:val="left"/>
        <w:rPr>
          <w:rFonts w:hint="eastAsia" w:ascii="宋体" w:hAnsi="宋体" w:eastAsia="宋体"/>
          <w:color w:val="auto"/>
          <w:lang w:val="en-US" w:eastAsia="zh-CN"/>
        </w:rPr>
      </w:pPr>
      <w:r>
        <w:rPr>
          <w:rFonts w:hint="eastAsia" w:ascii="宋体" w:hAnsi="宋体" w:eastAsia="宋体"/>
          <w:color w:val="auto"/>
          <w:lang w:val="en-US" w:eastAsia="zh-CN"/>
        </w:rPr>
        <w:t xml:space="preserve">                        </w:t>
      </w:r>
    </w:p>
    <w:p w14:paraId="10CE8747">
      <w:pPr>
        <w:widowControl/>
        <w:spacing w:line="360" w:lineRule="auto"/>
        <w:ind w:right="131" w:rightChars="41"/>
        <w:jc w:val="left"/>
        <w:rPr>
          <w:rFonts w:hint="eastAsia" w:ascii="宋体" w:hAnsi="宋体" w:eastAsia="宋体"/>
          <w:color w:val="auto"/>
          <w:lang w:val="en-US" w:eastAsia="zh-CN"/>
        </w:rPr>
      </w:pPr>
    </w:p>
    <w:p w14:paraId="3A686871">
      <w:pPr>
        <w:widowControl/>
        <w:spacing w:line="360" w:lineRule="auto"/>
        <w:ind w:right="131" w:rightChars="41"/>
        <w:jc w:val="left"/>
        <w:rPr>
          <w:rFonts w:hint="default" w:ascii="宋体" w:hAnsi="宋体" w:eastAsia="宋体"/>
          <w:color w:val="auto"/>
          <w:lang w:val="en-US" w:eastAsia="zh-CN"/>
        </w:rPr>
      </w:pPr>
      <w:r>
        <w:rPr>
          <w:rFonts w:hint="eastAsia" w:ascii="宋体" w:hAnsi="宋体" w:eastAsia="宋体"/>
          <w:color w:val="auto"/>
          <w:lang w:val="en-US" w:eastAsia="zh-CN"/>
        </w:rPr>
        <w:t xml:space="preserve">                              2024年10月24日</w:t>
      </w:r>
      <w:bookmarkStart w:id="3" w:name="_GoBack"/>
      <w:bookmarkEnd w:id="3"/>
    </w:p>
    <w:sectPr>
      <w:pgSz w:w="11906" w:h="16838"/>
      <w:pgMar w:top="1440" w:right="1800" w:bottom="1440" w:left="1800"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hmMDQ3OGI1MGZjNjcwOGQ5ZjZiMWM1M2MxZWI4ZWYifQ=="/>
  </w:docVars>
  <w:rsids>
    <w:rsidRoot w:val="00E40DA2"/>
    <w:rsid w:val="00000BE8"/>
    <w:rsid w:val="000010CA"/>
    <w:rsid w:val="000016B6"/>
    <w:rsid w:val="00003542"/>
    <w:rsid w:val="000100BC"/>
    <w:rsid w:val="000105FB"/>
    <w:rsid w:val="00012023"/>
    <w:rsid w:val="0001225C"/>
    <w:rsid w:val="00015C83"/>
    <w:rsid w:val="00020078"/>
    <w:rsid w:val="00022FC7"/>
    <w:rsid w:val="00023C56"/>
    <w:rsid w:val="00024D6B"/>
    <w:rsid w:val="00026954"/>
    <w:rsid w:val="00030F6A"/>
    <w:rsid w:val="00032A93"/>
    <w:rsid w:val="000358A6"/>
    <w:rsid w:val="00035D7E"/>
    <w:rsid w:val="000467B8"/>
    <w:rsid w:val="00047902"/>
    <w:rsid w:val="000504E7"/>
    <w:rsid w:val="000513EC"/>
    <w:rsid w:val="0005436C"/>
    <w:rsid w:val="00056B15"/>
    <w:rsid w:val="00056FDC"/>
    <w:rsid w:val="00060107"/>
    <w:rsid w:val="00063870"/>
    <w:rsid w:val="000650A5"/>
    <w:rsid w:val="000710A9"/>
    <w:rsid w:val="00071169"/>
    <w:rsid w:val="00074F64"/>
    <w:rsid w:val="000752CD"/>
    <w:rsid w:val="00083990"/>
    <w:rsid w:val="00084A0B"/>
    <w:rsid w:val="0008580A"/>
    <w:rsid w:val="000871FD"/>
    <w:rsid w:val="000A1C4E"/>
    <w:rsid w:val="000A406D"/>
    <w:rsid w:val="000A460C"/>
    <w:rsid w:val="000A5CC7"/>
    <w:rsid w:val="000A6A8A"/>
    <w:rsid w:val="000B3FE3"/>
    <w:rsid w:val="000B452B"/>
    <w:rsid w:val="000B5519"/>
    <w:rsid w:val="000B571B"/>
    <w:rsid w:val="000B762E"/>
    <w:rsid w:val="000C4010"/>
    <w:rsid w:val="000C45D7"/>
    <w:rsid w:val="000C4DCD"/>
    <w:rsid w:val="000D29F7"/>
    <w:rsid w:val="000D2B02"/>
    <w:rsid w:val="000D2D8D"/>
    <w:rsid w:val="000D3833"/>
    <w:rsid w:val="000D3973"/>
    <w:rsid w:val="000D7AFC"/>
    <w:rsid w:val="000E27E5"/>
    <w:rsid w:val="000E3745"/>
    <w:rsid w:val="000E45A4"/>
    <w:rsid w:val="000F0403"/>
    <w:rsid w:val="000F4E87"/>
    <w:rsid w:val="000F5A56"/>
    <w:rsid w:val="000F66F6"/>
    <w:rsid w:val="00100DD7"/>
    <w:rsid w:val="00101E85"/>
    <w:rsid w:val="001101EF"/>
    <w:rsid w:val="00110CB0"/>
    <w:rsid w:val="00111BBA"/>
    <w:rsid w:val="00111E49"/>
    <w:rsid w:val="001140CC"/>
    <w:rsid w:val="00114681"/>
    <w:rsid w:val="00115476"/>
    <w:rsid w:val="00116C5D"/>
    <w:rsid w:val="0012491B"/>
    <w:rsid w:val="001254FB"/>
    <w:rsid w:val="00126E68"/>
    <w:rsid w:val="00127370"/>
    <w:rsid w:val="001313A1"/>
    <w:rsid w:val="00131BBF"/>
    <w:rsid w:val="0014321A"/>
    <w:rsid w:val="00145BD1"/>
    <w:rsid w:val="00146174"/>
    <w:rsid w:val="00146825"/>
    <w:rsid w:val="001506FB"/>
    <w:rsid w:val="00151C31"/>
    <w:rsid w:val="001568FC"/>
    <w:rsid w:val="00161EFC"/>
    <w:rsid w:val="00162F2A"/>
    <w:rsid w:val="00171BE7"/>
    <w:rsid w:val="00173135"/>
    <w:rsid w:val="00180BEF"/>
    <w:rsid w:val="00180BF2"/>
    <w:rsid w:val="001817FE"/>
    <w:rsid w:val="00181BE7"/>
    <w:rsid w:val="00182256"/>
    <w:rsid w:val="001855B6"/>
    <w:rsid w:val="00190CDC"/>
    <w:rsid w:val="00191B13"/>
    <w:rsid w:val="00192079"/>
    <w:rsid w:val="0019343E"/>
    <w:rsid w:val="001954EA"/>
    <w:rsid w:val="001A0F7B"/>
    <w:rsid w:val="001A4953"/>
    <w:rsid w:val="001B253E"/>
    <w:rsid w:val="001B4393"/>
    <w:rsid w:val="001B56AA"/>
    <w:rsid w:val="001B7985"/>
    <w:rsid w:val="001C3141"/>
    <w:rsid w:val="001C319E"/>
    <w:rsid w:val="001C4684"/>
    <w:rsid w:val="001C6CE0"/>
    <w:rsid w:val="001D0232"/>
    <w:rsid w:val="001D0F22"/>
    <w:rsid w:val="001D4DE7"/>
    <w:rsid w:val="001D5877"/>
    <w:rsid w:val="001E05FE"/>
    <w:rsid w:val="001E2960"/>
    <w:rsid w:val="001E366A"/>
    <w:rsid w:val="001E3EF5"/>
    <w:rsid w:val="001E4275"/>
    <w:rsid w:val="001E5B0F"/>
    <w:rsid w:val="001F59E1"/>
    <w:rsid w:val="001F64CA"/>
    <w:rsid w:val="002028CE"/>
    <w:rsid w:val="00203A83"/>
    <w:rsid w:val="00203E2B"/>
    <w:rsid w:val="002049CC"/>
    <w:rsid w:val="002074A3"/>
    <w:rsid w:val="002106C0"/>
    <w:rsid w:val="00213F2D"/>
    <w:rsid w:val="002161DD"/>
    <w:rsid w:val="00223F19"/>
    <w:rsid w:val="00225BA3"/>
    <w:rsid w:val="00226C19"/>
    <w:rsid w:val="00234435"/>
    <w:rsid w:val="002348B3"/>
    <w:rsid w:val="0023737B"/>
    <w:rsid w:val="0023768D"/>
    <w:rsid w:val="0024003D"/>
    <w:rsid w:val="00241835"/>
    <w:rsid w:val="00242EFB"/>
    <w:rsid w:val="00251DD4"/>
    <w:rsid w:val="002525B9"/>
    <w:rsid w:val="002536BB"/>
    <w:rsid w:val="002537D6"/>
    <w:rsid w:val="00255654"/>
    <w:rsid w:val="00260007"/>
    <w:rsid w:val="00267F52"/>
    <w:rsid w:val="00267F61"/>
    <w:rsid w:val="002701D5"/>
    <w:rsid w:val="0027072F"/>
    <w:rsid w:val="002810F6"/>
    <w:rsid w:val="00282824"/>
    <w:rsid w:val="0028449A"/>
    <w:rsid w:val="00284661"/>
    <w:rsid w:val="0028596E"/>
    <w:rsid w:val="00285C66"/>
    <w:rsid w:val="002863B2"/>
    <w:rsid w:val="00287349"/>
    <w:rsid w:val="00292CDD"/>
    <w:rsid w:val="00295AA3"/>
    <w:rsid w:val="002A11AB"/>
    <w:rsid w:val="002A59A3"/>
    <w:rsid w:val="002A7AAD"/>
    <w:rsid w:val="002B31F7"/>
    <w:rsid w:val="002B6C36"/>
    <w:rsid w:val="002C0D2C"/>
    <w:rsid w:val="002C10CC"/>
    <w:rsid w:val="002C3167"/>
    <w:rsid w:val="002C33E2"/>
    <w:rsid w:val="002C7804"/>
    <w:rsid w:val="002D46A2"/>
    <w:rsid w:val="002D47CB"/>
    <w:rsid w:val="002D619D"/>
    <w:rsid w:val="002D6BB1"/>
    <w:rsid w:val="002E3A4E"/>
    <w:rsid w:val="002F4DD9"/>
    <w:rsid w:val="002F5556"/>
    <w:rsid w:val="002F56A4"/>
    <w:rsid w:val="002F5F9B"/>
    <w:rsid w:val="002F6086"/>
    <w:rsid w:val="002F6C12"/>
    <w:rsid w:val="002F7528"/>
    <w:rsid w:val="00301508"/>
    <w:rsid w:val="00305F9F"/>
    <w:rsid w:val="003109CD"/>
    <w:rsid w:val="0031183A"/>
    <w:rsid w:val="0031450E"/>
    <w:rsid w:val="003154E7"/>
    <w:rsid w:val="0031704F"/>
    <w:rsid w:val="003176B4"/>
    <w:rsid w:val="00323A58"/>
    <w:rsid w:val="00323E74"/>
    <w:rsid w:val="0032461C"/>
    <w:rsid w:val="00325C1D"/>
    <w:rsid w:val="00325EFF"/>
    <w:rsid w:val="00326FED"/>
    <w:rsid w:val="0032791D"/>
    <w:rsid w:val="00327D8C"/>
    <w:rsid w:val="00336220"/>
    <w:rsid w:val="003417FC"/>
    <w:rsid w:val="003448D7"/>
    <w:rsid w:val="00350F96"/>
    <w:rsid w:val="00352D03"/>
    <w:rsid w:val="00356CFC"/>
    <w:rsid w:val="00356F42"/>
    <w:rsid w:val="0035747C"/>
    <w:rsid w:val="003603A3"/>
    <w:rsid w:val="0036116E"/>
    <w:rsid w:val="00362E85"/>
    <w:rsid w:val="00363EAB"/>
    <w:rsid w:val="00373762"/>
    <w:rsid w:val="003826D9"/>
    <w:rsid w:val="0038339B"/>
    <w:rsid w:val="0038395B"/>
    <w:rsid w:val="00385EAF"/>
    <w:rsid w:val="00387CE5"/>
    <w:rsid w:val="0039746B"/>
    <w:rsid w:val="003A2334"/>
    <w:rsid w:val="003A341C"/>
    <w:rsid w:val="003A5DDD"/>
    <w:rsid w:val="003B224E"/>
    <w:rsid w:val="003B43D4"/>
    <w:rsid w:val="003B527F"/>
    <w:rsid w:val="003B5717"/>
    <w:rsid w:val="003B7977"/>
    <w:rsid w:val="003C26D8"/>
    <w:rsid w:val="003C2A92"/>
    <w:rsid w:val="003C3777"/>
    <w:rsid w:val="003C4BC6"/>
    <w:rsid w:val="003C58C5"/>
    <w:rsid w:val="003C6297"/>
    <w:rsid w:val="003C70A7"/>
    <w:rsid w:val="003C7C62"/>
    <w:rsid w:val="003D0D40"/>
    <w:rsid w:val="003D510E"/>
    <w:rsid w:val="003D7B08"/>
    <w:rsid w:val="003E3289"/>
    <w:rsid w:val="003E3392"/>
    <w:rsid w:val="003E38E4"/>
    <w:rsid w:val="003E53B7"/>
    <w:rsid w:val="003E59A8"/>
    <w:rsid w:val="003E5EA4"/>
    <w:rsid w:val="003E7E01"/>
    <w:rsid w:val="003F43EB"/>
    <w:rsid w:val="003F5B56"/>
    <w:rsid w:val="003F5D9E"/>
    <w:rsid w:val="003F626A"/>
    <w:rsid w:val="003F72C6"/>
    <w:rsid w:val="004016DB"/>
    <w:rsid w:val="004041C5"/>
    <w:rsid w:val="00413F26"/>
    <w:rsid w:val="004166F6"/>
    <w:rsid w:val="00424883"/>
    <w:rsid w:val="00430757"/>
    <w:rsid w:val="00431D50"/>
    <w:rsid w:val="00435EBE"/>
    <w:rsid w:val="0044061E"/>
    <w:rsid w:val="0044313E"/>
    <w:rsid w:val="00443C78"/>
    <w:rsid w:val="0044618E"/>
    <w:rsid w:val="00450F81"/>
    <w:rsid w:val="004517F0"/>
    <w:rsid w:val="00452D9A"/>
    <w:rsid w:val="004544CF"/>
    <w:rsid w:val="00454702"/>
    <w:rsid w:val="0045679C"/>
    <w:rsid w:val="00457CF3"/>
    <w:rsid w:val="0047034E"/>
    <w:rsid w:val="00475501"/>
    <w:rsid w:val="004760FC"/>
    <w:rsid w:val="00477503"/>
    <w:rsid w:val="00480097"/>
    <w:rsid w:val="00480BA0"/>
    <w:rsid w:val="00484E21"/>
    <w:rsid w:val="00486AFF"/>
    <w:rsid w:val="0049558E"/>
    <w:rsid w:val="004A6D4E"/>
    <w:rsid w:val="004B4C25"/>
    <w:rsid w:val="004B7E15"/>
    <w:rsid w:val="004C0A78"/>
    <w:rsid w:val="004C1CD3"/>
    <w:rsid w:val="004C2527"/>
    <w:rsid w:val="004C3EA6"/>
    <w:rsid w:val="004C6ECB"/>
    <w:rsid w:val="004D65BD"/>
    <w:rsid w:val="004D6E30"/>
    <w:rsid w:val="004D7245"/>
    <w:rsid w:val="004E398E"/>
    <w:rsid w:val="004E4D32"/>
    <w:rsid w:val="004E4EF4"/>
    <w:rsid w:val="004F062C"/>
    <w:rsid w:val="004F220E"/>
    <w:rsid w:val="004F3528"/>
    <w:rsid w:val="004F4762"/>
    <w:rsid w:val="004F7D26"/>
    <w:rsid w:val="004F7F7F"/>
    <w:rsid w:val="005024AC"/>
    <w:rsid w:val="00505583"/>
    <w:rsid w:val="005068D5"/>
    <w:rsid w:val="00513133"/>
    <w:rsid w:val="00514404"/>
    <w:rsid w:val="00514AF3"/>
    <w:rsid w:val="00515829"/>
    <w:rsid w:val="00515C56"/>
    <w:rsid w:val="005228DB"/>
    <w:rsid w:val="00523EB0"/>
    <w:rsid w:val="0052571F"/>
    <w:rsid w:val="00530F11"/>
    <w:rsid w:val="005314EF"/>
    <w:rsid w:val="005345E4"/>
    <w:rsid w:val="00534F92"/>
    <w:rsid w:val="00535AA4"/>
    <w:rsid w:val="005369DD"/>
    <w:rsid w:val="00536DA0"/>
    <w:rsid w:val="00542DA5"/>
    <w:rsid w:val="00543E33"/>
    <w:rsid w:val="00547422"/>
    <w:rsid w:val="0055398B"/>
    <w:rsid w:val="00553CD8"/>
    <w:rsid w:val="0055443F"/>
    <w:rsid w:val="005567A6"/>
    <w:rsid w:val="005630D5"/>
    <w:rsid w:val="00565832"/>
    <w:rsid w:val="00566155"/>
    <w:rsid w:val="00566927"/>
    <w:rsid w:val="00567422"/>
    <w:rsid w:val="005748E5"/>
    <w:rsid w:val="00575D9A"/>
    <w:rsid w:val="00576282"/>
    <w:rsid w:val="005815F9"/>
    <w:rsid w:val="00583D81"/>
    <w:rsid w:val="0058518B"/>
    <w:rsid w:val="00586CF1"/>
    <w:rsid w:val="00587ED4"/>
    <w:rsid w:val="005943E7"/>
    <w:rsid w:val="0059544E"/>
    <w:rsid w:val="00596D06"/>
    <w:rsid w:val="005A56E0"/>
    <w:rsid w:val="005A5BFB"/>
    <w:rsid w:val="005B0E57"/>
    <w:rsid w:val="005C0412"/>
    <w:rsid w:val="005C4C98"/>
    <w:rsid w:val="005C516F"/>
    <w:rsid w:val="005C585A"/>
    <w:rsid w:val="005D0063"/>
    <w:rsid w:val="005D025B"/>
    <w:rsid w:val="005D6BB1"/>
    <w:rsid w:val="005D756C"/>
    <w:rsid w:val="005E4279"/>
    <w:rsid w:val="005E5EB1"/>
    <w:rsid w:val="005E6DB2"/>
    <w:rsid w:val="005F1571"/>
    <w:rsid w:val="005F3221"/>
    <w:rsid w:val="005F4392"/>
    <w:rsid w:val="005F54AD"/>
    <w:rsid w:val="006019E0"/>
    <w:rsid w:val="00603E5E"/>
    <w:rsid w:val="00606F2A"/>
    <w:rsid w:val="00607210"/>
    <w:rsid w:val="006115F7"/>
    <w:rsid w:val="00614B90"/>
    <w:rsid w:val="0062047A"/>
    <w:rsid w:val="0062143B"/>
    <w:rsid w:val="00622753"/>
    <w:rsid w:val="00623328"/>
    <w:rsid w:val="00632945"/>
    <w:rsid w:val="00633721"/>
    <w:rsid w:val="006342EB"/>
    <w:rsid w:val="0063474A"/>
    <w:rsid w:val="00634DAC"/>
    <w:rsid w:val="00637AFA"/>
    <w:rsid w:val="00637F17"/>
    <w:rsid w:val="0064011D"/>
    <w:rsid w:val="00641EC0"/>
    <w:rsid w:val="00642006"/>
    <w:rsid w:val="006421DA"/>
    <w:rsid w:val="006433B6"/>
    <w:rsid w:val="00645700"/>
    <w:rsid w:val="00645D56"/>
    <w:rsid w:val="0065372F"/>
    <w:rsid w:val="00654FEC"/>
    <w:rsid w:val="00655198"/>
    <w:rsid w:val="006553CE"/>
    <w:rsid w:val="0065784A"/>
    <w:rsid w:val="0066210D"/>
    <w:rsid w:val="006624DF"/>
    <w:rsid w:val="00662A14"/>
    <w:rsid w:val="00674D37"/>
    <w:rsid w:val="0067555D"/>
    <w:rsid w:val="00680E57"/>
    <w:rsid w:val="00681B7A"/>
    <w:rsid w:val="00683413"/>
    <w:rsid w:val="0068586C"/>
    <w:rsid w:val="00685E48"/>
    <w:rsid w:val="00685FB1"/>
    <w:rsid w:val="00690D55"/>
    <w:rsid w:val="00691D9B"/>
    <w:rsid w:val="00693664"/>
    <w:rsid w:val="00694163"/>
    <w:rsid w:val="00694F9F"/>
    <w:rsid w:val="006974EA"/>
    <w:rsid w:val="006A13EC"/>
    <w:rsid w:val="006A44FC"/>
    <w:rsid w:val="006A4B39"/>
    <w:rsid w:val="006A4B3C"/>
    <w:rsid w:val="006A56E1"/>
    <w:rsid w:val="006B22A2"/>
    <w:rsid w:val="006B3F4A"/>
    <w:rsid w:val="006C0965"/>
    <w:rsid w:val="006C0A4C"/>
    <w:rsid w:val="006C4961"/>
    <w:rsid w:val="006C758E"/>
    <w:rsid w:val="006D3BE9"/>
    <w:rsid w:val="006D5C3C"/>
    <w:rsid w:val="006E0A62"/>
    <w:rsid w:val="006E3FA5"/>
    <w:rsid w:val="006E4848"/>
    <w:rsid w:val="006E6DFE"/>
    <w:rsid w:val="006F1759"/>
    <w:rsid w:val="006F2781"/>
    <w:rsid w:val="006F2C93"/>
    <w:rsid w:val="00700EB0"/>
    <w:rsid w:val="00710EE4"/>
    <w:rsid w:val="007112C8"/>
    <w:rsid w:val="0071465A"/>
    <w:rsid w:val="007161E0"/>
    <w:rsid w:val="00716873"/>
    <w:rsid w:val="00721D48"/>
    <w:rsid w:val="0072374D"/>
    <w:rsid w:val="00735224"/>
    <w:rsid w:val="007357C6"/>
    <w:rsid w:val="00735F55"/>
    <w:rsid w:val="00742BF2"/>
    <w:rsid w:val="00750782"/>
    <w:rsid w:val="00753239"/>
    <w:rsid w:val="00755CEC"/>
    <w:rsid w:val="00764761"/>
    <w:rsid w:val="00764782"/>
    <w:rsid w:val="007659D3"/>
    <w:rsid w:val="00766508"/>
    <w:rsid w:val="00766DF5"/>
    <w:rsid w:val="00766EC2"/>
    <w:rsid w:val="007671AC"/>
    <w:rsid w:val="00772F0E"/>
    <w:rsid w:val="00773271"/>
    <w:rsid w:val="007752B3"/>
    <w:rsid w:val="00776E2E"/>
    <w:rsid w:val="00781883"/>
    <w:rsid w:val="00781BC3"/>
    <w:rsid w:val="007821FE"/>
    <w:rsid w:val="007828C5"/>
    <w:rsid w:val="007849BE"/>
    <w:rsid w:val="00790387"/>
    <w:rsid w:val="00792202"/>
    <w:rsid w:val="0079346C"/>
    <w:rsid w:val="00796411"/>
    <w:rsid w:val="007A14D2"/>
    <w:rsid w:val="007A27D6"/>
    <w:rsid w:val="007A4AFF"/>
    <w:rsid w:val="007A53C7"/>
    <w:rsid w:val="007B78DC"/>
    <w:rsid w:val="007C49E7"/>
    <w:rsid w:val="007C50A8"/>
    <w:rsid w:val="007C5114"/>
    <w:rsid w:val="007C53FA"/>
    <w:rsid w:val="007C7E1C"/>
    <w:rsid w:val="007D1954"/>
    <w:rsid w:val="007D2901"/>
    <w:rsid w:val="007E1EC2"/>
    <w:rsid w:val="007E3E32"/>
    <w:rsid w:val="007E77D3"/>
    <w:rsid w:val="007E7BF3"/>
    <w:rsid w:val="007F0404"/>
    <w:rsid w:val="007F0BA4"/>
    <w:rsid w:val="007F3099"/>
    <w:rsid w:val="007F361B"/>
    <w:rsid w:val="007F37AF"/>
    <w:rsid w:val="007F42AC"/>
    <w:rsid w:val="008014CB"/>
    <w:rsid w:val="00801A1E"/>
    <w:rsid w:val="00801A75"/>
    <w:rsid w:val="00803C5C"/>
    <w:rsid w:val="008051F2"/>
    <w:rsid w:val="00805338"/>
    <w:rsid w:val="00807968"/>
    <w:rsid w:val="008116C1"/>
    <w:rsid w:val="00811846"/>
    <w:rsid w:val="00811E8B"/>
    <w:rsid w:val="00813073"/>
    <w:rsid w:val="00816C1C"/>
    <w:rsid w:val="00822E07"/>
    <w:rsid w:val="00826FCE"/>
    <w:rsid w:val="008275BF"/>
    <w:rsid w:val="0083252C"/>
    <w:rsid w:val="008327E2"/>
    <w:rsid w:val="008344FD"/>
    <w:rsid w:val="00834DDB"/>
    <w:rsid w:val="00835261"/>
    <w:rsid w:val="00835AD2"/>
    <w:rsid w:val="008378F2"/>
    <w:rsid w:val="008412C0"/>
    <w:rsid w:val="008428F7"/>
    <w:rsid w:val="00845FFF"/>
    <w:rsid w:val="0084687D"/>
    <w:rsid w:val="008508EA"/>
    <w:rsid w:val="008530EA"/>
    <w:rsid w:val="0085411C"/>
    <w:rsid w:val="00856F64"/>
    <w:rsid w:val="00857D78"/>
    <w:rsid w:val="00860E56"/>
    <w:rsid w:val="00861F7D"/>
    <w:rsid w:val="00862320"/>
    <w:rsid w:val="00862A17"/>
    <w:rsid w:val="00864757"/>
    <w:rsid w:val="00871311"/>
    <w:rsid w:val="008757FF"/>
    <w:rsid w:val="008809D8"/>
    <w:rsid w:val="0088156F"/>
    <w:rsid w:val="00881BC1"/>
    <w:rsid w:val="00887738"/>
    <w:rsid w:val="008901D6"/>
    <w:rsid w:val="00891190"/>
    <w:rsid w:val="00895777"/>
    <w:rsid w:val="008976CA"/>
    <w:rsid w:val="008A312A"/>
    <w:rsid w:val="008A520C"/>
    <w:rsid w:val="008B0D88"/>
    <w:rsid w:val="008B2DAE"/>
    <w:rsid w:val="008B3BA5"/>
    <w:rsid w:val="008B4643"/>
    <w:rsid w:val="008B516D"/>
    <w:rsid w:val="008B58BA"/>
    <w:rsid w:val="008B6920"/>
    <w:rsid w:val="008B7359"/>
    <w:rsid w:val="008B7690"/>
    <w:rsid w:val="008C0455"/>
    <w:rsid w:val="008C12D8"/>
    <w:rsid w:val="008D006F"/>
    <w:rsid w:val="008D2066"/>
    <w:rsid w:val="008D31BA"/>
    <w:rsid w:val="008D6C0E"/>
    <w:rsid w:val="008D70F0"/>
    <w:rsid w:val="008D7B11"/>
    <w:rsid w:val="008E0058"/>
    <w:rsid w:val="008E0EDE"/>
    <w:rsid w:val="008E13E5"/>
    <w:rsid w:val="008E1F67"/>
    <w:rsid w:val="008E2230"/>
    <w:rsid w:val="008E2862"/>
    <w:rsid w:val="008E2B6B"/>
    <w:rsid w:val="008E32BA"/>
    <w:rsid w:val="008E4952"/>
    <w:rsid w:val="008E6765"/>
    <w:rsid w:val="008E7A68"/>
    <w:rsid w:val="008F0C8D"/>
    <w:rsid w:val="008F315E"/>
    <w:rsid w:val="008F37B5"/>
    <w:rsid w:val="008F664C"/>
    <w:rsid w:val="008F743B"/>
    <w:rsid w:val="00900E9E"/>
    <w:rsid w:val="009013C8"/>
    <w:rsid w:val="00903635"/>
    <w:rsid w:val="00906D1F"/>
    <w:rsid w:val="00910141"/>
    <w:rsid w:val="009139F9"/>
    <w:rsid w:val="0091427C"/>
    <w:rsid w:val="009144AB"/>
    <w:rsid w:val="00916F24"/>
    <w:rsid w:val="00917D00"/>
    <w:rsid w:val="00920104"/>
    <w:rsid w:val="00920486"/>
    <w:rsid w:val="00921F7F"/>
    <w:rsid w:val="009221E7"/>
    <w:rsid w:val="00923C14"/>
    <w:rsid w:val="00932AA1"/>
    <w:rsid w:val="00933EB3"/>
    <w:rsid w:val="00937D03"/>
    <w:rsid w:val="00941792"/>
    <w:rsid w:val="00943959"/>
    <w:rsid w:val="009449A7"/>
    <w:rsid w:val="00947147"/>
    <w:rsid w:val="00947CE8"/>
    <w:rsid w:val="0095147B"/>
    <w:rsid w:val="009535EA"/>
    <w:rsid w:val="009543F1"/>
    <w:rsid w:val="0095486C"/>
    <w:rsid w:val="00960064"/>
    <w:rsid w:val="00961B02"/>
    <w:rsid w:val="0096655D"/>
    <w:rsid w:val="009671F5"/>
    <w:rsid w:val="00971C89"/>
    <w:rsid w:val="00974ACD"/>
    <w:rsid w:val="00980632"/>
    <w:rsid w:val="00980794"/>
    <w:rsid w:val="009836BF"/>
    <w:rsid w:val="00983DF6"/>
    <w:rsid w:val="0099096D"/>
    <w:rsid w:val="009910B2"/>
    <w:rsid w:val="00991B4B"/>
    <w:rsid w:val="00992479"/>
    <w:rsid w:val="00992AAB"/>
    <w:rsid w:val="00997CD4"/>
    <w:rsid w:val="009A2E78"/>
    <w:rsid w:val="009A4672"/>
    <w:rsid w:val="009A6A23"/>
    <w:rsid w:val="009A770F"/>
    <w:rsid w:val="009B2248"/>
    <w:rsid w:val="009B574B"/>
    <w:rsid w:val="009B753E"/>
    <w:rsid w:val="009C0AE7"/>
    <w:rsid w:val="009C4D43"/>
    <w:rsid w:val="009C4E7F"/>
    <w:rsid w:val="009D3186"/>
    <w:rsid w:val="009D3DBA"/>
    <w:rsid w:val="009E0C32"/>
    <w:rsid w:val="009E1E9A"/>
    <w:rsid w:val="009E50A7"/>
    <w:rsid w:val="009E5C6C"/>
    <w:rsid w:val="009E7F2B"/>
    <w:rsid w:val="009F01D6"/>
    <w:rsid w:val="009F1169"/>
    <w:rsid w:val="009F1CD8"/>
    <w:rsid w:val="009F2970"/>
    <w:rsid w:val="009F66D9"/>
    <w:rsid w:val="00A04143"/>
    <w:rsid w:val="00A055F9"/>
    <w:rsid w:val="00A05A37"/>
    <w:rsid w:val="00A0662E"/>
    <w:rsid w:val="00A104FF"/>
    <w:rsid w:val="00A111BC"/>
    <w:rsid w:val="00A13061"/>
    <w:rsid w:val="00A1396F"/>
    <w:rsid w:val="00A16058"/>
    <w:rsid w:val="00A171BB"/>
    <w:rsid w:val="00A2022C"/>
    <w:rsid w:val="00A24AE4"/>
    <w:rsid w:val="00A24DE6"/>
    <w:rsid w:val="00A3179A"/>
    <w:rsid w:val="00A332E7"/>
    <w:rsid w:val="00A336B9"/>
    <w:rsid w:val="00A3488E"/>
    <w:rsid w:val="00A360AE"/>
    <w:rsid w:val="00A36B27"/>
    <w:rsid w:val="00A406EB"/>
    <w:rsid w:val="00A40A0D"/>
    <w:rsid w:val="00A425D0"/>
    <w:rsid w:val="00A43A06"/>
    <w:rsid w:val="00A45747"/>
    <w:rsid w:val="00A5013B"/>
    <w:rsid w:val="00A53ED0"/>
    <w:rsid w:val="00A574CF"/>
    <w:rsid w:val="00A644F9"/>
    <w:rsid w:val="00A64B3F"/>
    <w:rsid w:val="00A722D8"/>
    <w:rsid w:val="00A723F8"/>
    <w:rsid w:val="00A72CC2"/>
    <w:rsid w:val="00A76BBA"/>
    <w:rsid w:val="00A83106"/>
    <w:rsid w:val="00A84F38"/>
    <w:rsid w:val="00A85723"/>
    <w:rsid w:val="00A87973"/>
    <w:rsid w:val="00A87CDB"/>
    <w:rsid w:val="00A90109"/>
    <w:rsid w:val="00A9081C"/>
    <w:rsid w:val="00A91857"/>
    <w:rsid w:val="00A92910"/>
    <w:rsid w:val="00AA5073"/>
    <w:rsid w:val="00AA749A"/>
    <w:rsid w:val="00AA7AC7"/>
    <w:rsid w:val="00AB099A"/>
    <w:rsid w:val="00AB39E2"/>
    <w:rsid w:val="00AB5B1E"/>
    <w:rsid w:val="00AB6C30"/>
    <w:rsid w:val="00AC1EBF"/>
    <w:rsid w:val="00AC24A2"/>
    <w:rsid w:val="00AC3DF6"/>
    <w:rsid w:val="00AC541D"/>
    <w:rsid w:val="00AD135C"/>
    <w:rsid w:val="00AD2EBC"/>
    <w:rsid w:val="00AD70CC"/>
    <w:rsid w:val="00AD79CC"/>
    <w:rsid w:val="00AE17CC"/>
    <w:rsid w:val="00AE597B"/>
    <w:rsid w:val="00AF2155"/>
    <w:rsid w:val="00AF72F5"/>
    <w:rsid w:val="00B02795"/>
    <w:rsid w:val="00B03625"/>
    <w:rsid w:val="00B06A27"/>
    <w:rsid w:val="00B06B5A"/>
    <w:rsid w:val="00B105B3"/>
    <w:rsid w:val="00B10F4E"/>
    <w:rsid w:val="00B13022"/>
    <w:rsid w:val="00B16AED"/>
    <w:rsid w:val="00B21F2C"/>
    <w:rsid w:val="00B311BA"/>
    <w:rsid w:val="00B33518"/>
    <w:rsid w:val="00B37FB6"/>
    <w:rsid w:val="00B41836"/>
    <w:rsid w:val="00B452E7"/>
    <w:rsid w:val="00B46A48"/>
    <w:rsid w:val="00B46E6A"/>
    <w:rsid w:val="00B47F59"/>
    <w:rsid w:val="00B5013A"/>
    <w:rsid w:val="00B5433C"/>
    <w:rsid w:val="00B5506E"/>
    <w:rsid w:val="00B60A12"/>
    <w:rsid w:val="00B64D18"/>
    <w:rsid w:val="00B66FCC"/>
    <w:rsid w:val="00B71ABB"/>
    <w:rsid w:val="00B755FD"/>
    <w:rsid w:val="00B7666A"/>
    <w:rsid w:val="00B76735"/>
    <w:rsid w:val="00B83254"/>
    <w:rsid w:val="00B8697E"/>
    <w:rsid w:val="00B91322"/>
    <w:rsid w:val="00B9136C"/>
    <w:rsid w:val="00B91A19"/>
    <w:rsid w:val="00B9427E"/>
    <w:rsid w:val="00B942FF"/>
    <w:rsid w:val="00B94FC6"/>
    <w:rsid w:val="00B96A81"/>
    <w:rsid w:val="00BA1DF8"/>
    <w:rsid w:val="00BA2A3B"/>
    <w:rsid w:val="00BA3F9D"/>
    <w:rsid w:val="00BA4716"/>
    <w:rsid w:val="00BA5D5A"/>
    <w:rsid w:val="00BA7A41"/>
    <w:rsid w:val="00BB0888"/>
    <w:rsid w:val="00BB2D87"/>
    <w:rsid w:val="00BB42FE"/>
    <w:rsid w:val="00BB4A69"/>
    <w:rsid w:val="00BC0244"/>
    <w:rsid w:val="00BC13D9"/>
    <w:rsid w:val="00BC2C58"/>
    <w:rsid w:val="00BC308D"/>
    <w:rsid w:val="00BC36F8"/>
    <w:rsid w:val="00BC3981"/>
    <w:rsid w:val="00BC5172"/>
    <w:rsid w:val="00BD4996"/>
    <w:rsid w:val="00BD5B67"/>
    <w:rsid w:val="00BD6DF5"/>
    <w:rsid w:val="00BE5299"/>
    <w:rsid w:val="00BE7FD4"/>
    <w:rsid w:val="00BF51CC"/>
    <w:rsid w:val="00BF60E8"/>
    <w:rsid w:val="00C001E8"/>
    <w:rsid w:val="00C014C6"/>
    <w:rsid w:val="00C01D6A"/>
    <w:rsid w:val="00C05D68"/>
    <w:rsid w:val="00C06C28"/>
    <w:rsid w:val="00C071EB"/>
    <w:rsid w:val="00C16953"/>
    <w:rsid w:val="00C20C7E"/>
    <w:rsid w:val="00C2166A"/>
    <w:rsid w:val="00C40FE3"/>
    <w:rsid w:val="00C41D91"/>
    <w:rsid w:val="00C452A3"/>
    <w:rsid w:val="00C46F58"/>
    <w:rsid w:val="00C47E47"/>
    <w:rsid w:val="00C50FFF"/>
    <w:rsid w:val="00C51200"/>
    <w:rsid w:val="00C51D34"/>
    <w:rsid w:val="00C56F3C"/>
    <w:rsid w:val="00C60B6E"/>
    <w:rsid w:val="00C636C3"/>
    <w:rsid w:val="00C653FB"/>
    <w:rsid w:val="00C659FD"/>
    <w:rsid w:val="00C65E0C"/>
    <w:rsid w:val="00C676A3"/>
    <w:rsid w:val="00C7089C"/>
    <w:rsid w:val="00C72137"/>
    <w:rsid w:val="00C74CC9"/>
    <w:rsid w:val="00C8014E"/>
    <w:rsid w:val="00C8079A"/>
    <w:rsid w:val="00C82768"/>
    <w:rsid w:val="00C86F42"/>
    <w:rsid w:val="00CA137D"/>
    <w:rsid w:val="00CA5A0C"/>
    <w:rsid w:val="00CA5A9C"/>
    <w:rsid w:val="00CB10A0"/>
    <w:rsid w:val="00CB18DC"/>
    <w:rsid w:val="00CB2A26"/>
    <w:rsid w:val="00CB33EC"/>
    <w:rsid w:val="00CB4333"/>
    <w:rsid w:val="00CC1782"/>
    <w:rsid w:val="00CC4A70"/>
    <w:rsid w:val="00CD1983"/>
    <w:rsid w:val="00CD35F1"/>
    <w:rsid w:val="00CD3B21"/>
    <w:rsid w:val="00CD5C0D"/>
    <w:rsid w:val="00CE12E0"/>
    <w:rsid w:val="00CE1836"/>
    <w:rsid w:val="00CE261A"/>
    <w:rsid w:val="00CF0515"/>
    <w:rsid w:val="00CF074B"/>
    <w:rsid w:val="00CF0F10"/>
    <w:rsid w:val="00CF209A"/>
    <w:rsid w:val="00CF4ABE"/>
    <w:rsid w:val="00CF5220"/>
    <w:rsid w:val="00CF53AA"/>
    <w:rsid w:val="00CF59C0"/>
    <w:rsid w:val="00CF64DD"/>
    <w:rsid w:val="00CF758D"/>
    <w:rsid w:val="00D008CF"/>
    <w:rsid w:val="00D027DB"/>
    <w:rsid w:val="00D04973"/>
    <w:rsid w:val="00D049B8"/>
    <w:rsid w:val="00D05451"/>
    <w:rsid w:val="00D12E78"/>
    <w:rsid w:val="00D141F3"/>
    <w:rsid w:val="00D14317"/>
    <w:rsid w:val="00D16232"/>
    <w:rsid w:val="00D16556"/>
    <w:rsid w:val="00D20647"/>
    <w:rsid w:val="00D24D9C"/>
    <w:rsid w:val="00D274E2"/>
    <w:rsid w:val="00D314B7"/>
    <w:rsid w:val="00D31CDF"/>
    <w:rsid w:val="00D32279"/>
    <w:rsid w:val="00D331CA"/>
    <w:rsid w:val="00D34806"/>
    <w:rsid w:val="00D35416"/>
    <w:rsid w:val="00D41500"/>
    <w:rsid w:val="00D430D4"/>
    <w:rsid w:val="00D43448"/>
    <w:rsid w:val="00D5018D"/>
    <w:rsid w:val="00D5285F"/>
    <w:rsid w:val="00D52BA3"/>
    <w:rsid w:val="00D576E2"/>
    <w:rsid w:val="00D61C6F"/>
    <w:rsid w:val="00D63355"/>
    <w:rsid w:val="00D63DBE"/>
    <w:rsid w:val="00D64EDB"/>
    <w:rsid w:val="00D6753B"/>
    <w:rsid w:val="00D83F7C"/>
    <w:rsid w:val="00D85EBC"/>
    <w:rsid w:val="00D85FC7"/>
    <w:rsid w:val="00D87967"/>
    <w:rsid w:val="00D9510D"/>
    <w:rsid w:val="00D954F5"/>
    <w:rsid w:val="00D95C34"/>
    <w:rsid w:val="00D972A7"/>
    <w:rsid w:val="00D9734B"/>
    <w:rsid w:val="00DA0846"/>
    <w:rsid w:val="00DA4932"/>
    <w:rsid w:val="00DA5769"/>
    <w:rsid w:val="00DA7ED8"/>
    <w:rsid w:val="00DB14C1"/>
    <w:rsid w:val="00DB2547"/>
    <w:rsid w:val="00DB2773"/>
    <w:rsid w:val="00DC3620"/>
    <w:rsid w:val="00DD006C"/>
    <w:rsid w:val="00DD3A40"/>
    <w:rsid w:val="00DD55D6"/>
    <w:rsid w:val="00DD5671"/>
    <w:rsid w:val="00DD6BF6"/>
    <w:rsid w:val="00DE13D3"/>
    <w:rsid w:val="00DE27E5"/>
    <w:rsid w:val="00DE3570"/>
    <w:rsid w:val="00DE3ED9"/>
    <w:rsid w:val="00DE6A97"/>
    <w:rsid w:val="00DE6A9D"/>
    <w:rsid w:val="00DF18B0"/>
    <w:rsid w:val="00DF3683"/>
    <w:rsid w:val="00DF4F11"/>
    <w:rsid w:val="00E04392"/>
    <w:rsid w:val="00E06985"/>
    <w:rsid w:val="00E10D37"/>
    <w:rsid w:val="00E1245B"/>
    <w:rsid w:val="00E127AB"/>
    <w:rsid w:val="00E12FAE"/>
    <w:rsid w:val="00E15ABA"/>
    <w:rsid w:val="00E16E48"/>
    <w:rsid w:val="00E222BF"/>
    <w:rsid w:val="00E25704"/>
    <w:rsid w:val="00E259AE"/>
    <w:rsid w:val="00E27572"/>
    <w:rsid w:val="00E36B83"/>
    <w:rsid w:val="00E37647"/>
    <w:rsid w:val="00E40DA2"/>
    <w:rsid w:val="00E42325"/>
    <w:rsid w:val="00E43F39"/>
    <w:rsid w:val="00E468B1"/>
    <w:rsid w:val="00E500BE"/>
    <w:rsid w:val="00E5023D"/>
    <w:rsid w:val="00E5460E"/>
    <w:rsid w:val="00E571E1"/>
    <w:rsid w:val="00E608ED"/>
    <w:rsid w:val="00E62F69"/>
    <w:rsid w:val="00E6361D"/>
    <w:rsid w:val="00E63F05"/>
    <w:rsid w:val="00E71184"/>
    <w:rsid w:val="00E715F7"/>
    <w:rsid w:val="00E76AD7"/>
    <w:rsid w:val="00E80D1B"/>
    <w:rsid w:val="00E8334D"/>
    <w:rsid w:val="00E8347B"/>
    <w:rsid w:val="00E846CE"/>
    <w:rsid w:val="00E91777"/>
    <w:rsid w:val="00E936D5"/>
    <w:rsid w:val="00EA4009"/>
    <w:rsid w:val="00EA5960"/>
    <w:rsid w:val="00EA63D5"/>
    <w:rsid w:val="00EA72F9"/>
    <w:rsid w:val="00EB0A71"/>
    <w:rsid w:val="00EB49ED"/>
    <w:rsid w:val="00EB7635"/>
    <w:rsid w:val="00EC14CB"/>
    <w:rsid w:val="00EC5F45"/>
    <w:rsid w:val="00EC6D13"/>
    <w:rsid w:val="00EC70DE"/>
    <w:rsid w:val="00ED09DB"/>
    <w:rsid w:val="00ED0C1A"/>
    <w:rsid w:val="00ED5BA7"/>
    <w:rsid w:val="00EE2283"/>
    <w:rsid w:val="00EE3489"/>
    <w:rsid w:val="00EE5D2D"/>
    <w:rsid w:val="00EF305C"/>
    <w:rsid w:val="00EF3C10"/>
    <w:rsid w:val="00EF3CDC"/>
    <w:rsid w:val="00EF4A56"/>
    <w:rsid w:val="00F00C65"/>
    <w:rsid w:val="00F0611F"/>
    <w:rsid w:val="00F07174"/>
    <w:rsid w:val="00F076EC"/>
    <w:rsid w:val="00F07E5A"/>
    <w:rsid w:val="00F11453"/>
    <w:rsid w:val="00F15290"/>
    <w:rsid w:val="00F155D2"/>
    <w:rsid w:val="00F2213A"/>
    <w:rsid w:val="00F2663D"/>
    <w:rsid w:val="00F357CF"/>
    <w:rsid w:val="00F35F1F"/>
    <w:rsid w:val="00F36F69"/>
    <w:rsid w:val="00F3744A"/>
    <w:rsid w:val="00F40AF8"/>
    <w:rsid w:val="00F46847"/>
    <w:rsid w:val="00F46AE0"/>
    <w:rsid w:val="00F54879"/>
    <w:rsid w:val="00F550D8"/>
    <w:rsid w:val="00F57418"/>
    <w:rsid w:val="00F6121B"/>
    <w:rsid w:val="00F64808"/>
    <w:rsid w:val="00F65E99"/>
    <w:rsid w:val="00F66124"/>
    <w:rsid w:val="00F72C11"/>
    <w:rsid w:val="00F75535"/>
    <w:rsid w:val="00F75561"/>
    <w:rsid w:val="00F76B06"/>
    <w:rsid w:val="00F77194"/>
    <w:rsid w:val="00F8255D"/>
    <w:rsid w:val="00F83499"/>
    <w:rsid w:val="00F8616E"/>
    <w:rsid w:val="00F872C4"/>
    <w:rsid w:val="00F87CD4"/>
    <w:rsid w:val="00F90ED4"/>
    <w:rsid w:val="00F93CFB"/>
    <w:rsid w:val="00F93EA9"/>
    <w:rsid w:val="00F96A76"/>
    <w:rsid w:val="00FA1C13"/>
    <w:rsid w:val="00FA3104"/>
    <w:rsid w:val="00FA56C4"/>
    <w:rsid w:val="00FB0141"/>
    <w:rsid w:val="00FB3515"/>
    <w:rsid w:val="00FB36BA"/>
    <w:rsid w:val="00FB4DED"/>
    <w:rsid w:val="00FB6697"/>
    <w:rsid w:val="00FB7FFB"/>
    <w:rsid w:val="00FC1BE9"/>
    <w:rsid w:val="00FC3673"/>
    <w:rsid w:val="00FC50A8"/>
    <w:rsid w:val="00FC56A6"/>
    <w:rsid w:val="00FC5AE5"/>
    <w:rsid w:val="00FC6519"/>
    <w:rsid w:val="00FC7F44"/>
    <w:rsid w:val="00FD12D9"/>
    <w:rsid w:val="00FD1DA4"/>
    <w:rsid w:val="00FD6AD3"/>
    <w:rsid w:val="00FE14F8"/>
    <w:rsid w:val="00FE34F5"/>
    <w:rsid w:val="00FE37A5"/>
    <w:rsid w:val="00FE38F3"/>
    <w:rsid w:val="00FE740F"/>
    <w:rsid w:val="00FF24F1"/>
    <w:rsid w:val="00FF5132"/>
    <w:rsid w:val="00FF68CC"/>
    <w:rsid w:val="00FF6E54"/>
    <w:rsid w:val="00FF7419"/>
    <w:rsid w:val="01232972"/>
    <w:rsid w:val="01536131"/>
    <w:rsid w:val="01F20BF6"/>
    <w:rsid w:val="02281138"/>
    <w:rsid w:val="023C1623"/>
    <w:rsid w:val="030C4143"/>
    <w:rsid w:val="0310142D"/>
    <w:rsid w:val="03257560"/>
    <w:rsid w:val="03FB2C2E"/>
    <w:rsid w:val="0475126B"/>
    <w:rsid w:val="049D3F6A"/>
    <w:rsid w:val="05844B33"/>
    <w:rsid w:val="05D76C05"/>
    <w:rsid w:val="06D26808"/>
    <w:rsid w:val="071C6FC5"/>
    <w:rsid w:val="07DB478B"/>
    <w:rsid w:val="08585DDB"/>
    <w:rsid w:val="088F37C7"/>
    <w:rsid w:val="09060CCF"/>
    <w:rsid w:val="09F65CF9"/>
    <w:rsid w:val="0A3C0A1E"/>
    <w:rsid w:val="0A3C10CA"/>
    <w:rsid w:val="0A786C09"/>
    <w:rsid w:val="0AB063A2"/>
    <w:rsid w:val="0B7C68E4"/>
    <w:rsid w:val="0B8D2523"/>
    <w:rsid w:val="0BFB189F"/>
    <w:rsid w:val="0D0E115E"/>
    <w:rsid w:val="0D6E42F3"/>
    <w:rsid w:val="0E151B13"/>
    <w:rsid w:val="0F366214"/>
    <w:rsid w:val="0F7D3392"/>
    <w:rsid w:val="0F993179"/>
    <w:rsid w:val="0FB70188"/>
    <w:rsid w:val="0FC65A7A"/>
    <w:rsid w:val="0FE64614"/>
    <w:rsid w:val="10B25374"/>
    <w:rsid w:val="117067A9"/>
    <w:rsid w:val="11B147AE"/>
    <w:rsid w:val="11B60016"/>
    <w:rsid w:val="11C269BB"/>
    <w:rsid w:val="11CC3396"/>
    <w:rsid w:val="11EC3404"/>
    <w:rsid w:val="12096F63"/>
    <w:rsid w:val="128F6ED9"/>
    <w:rsid w:val="12D34A90"/>
    <w:rsid w:val="133E452B"/>
    <w:rsid w:val="13B14F39"/>
    <w:rsid w:val="14653146"/>
    <w:rsid w:val="14CD18FF"/>
    <w:rsid w:val="14DA2876"/>
    <w:rsid w:val="14DF1C16"/>
    <w:rsid w:val="152D05F0"/>
    <w:rsid w:val="153D4870"/>
    <w:rsid w:val="157B135B"/>
    <w:rsid w:val="1582093B"/>
    <w:rsid w:val="15EF4D2A"/>
    <w:rsid w:val="164556CF"/>
    <w:rsid w:val="172B6DB1"/>
    <w:rsid w:val="17AF1790"/>
    <w:rsid w:val="17EB3BAC"/>
    <w:rsid w:val="1A0F6516"/>
    <w:rsid w:val="1A646862"/>
    <w:rsid w:val="1B0E674D"/>
    <w:rsid w:val="1B586550"/>
    <w:rsid w:val="1B8A7774"/>
    <w:rsid w:val="1B944F25"/>
    <w:rsid w:val="1BB47375"/>
    <w:rsid w:val="1CC13B9C"/>
    <w:rsid w:val="1D5801D4"/>
    <w:rsid w:val="1D646B79"/>
    <w:rsid w:val="1D882867"/>
    <w:rsid w:val="1E0F4D36"/>
    <w:rsid w:val="1E9A26D3"/>
    <w:rsid w:val="1EBD54A8"/>
    <w:rsid w:val="1EDC730E"/>
    <w:rsid w:val="1F1850D0"/>
    <w:rsid w:val="1F753C9F"/>
    <w:rsid w:val="21E1054C"/>
    <w:rsid w:val="220716A5"/>
    <w:rsid w:val="230D6905"/>
    <w:rsid w:val="23464670"/>
    <w:rsid w:val="23C93BD9"/>
    <w:rsid w:val="23F073B8"/>
    <w:rsid w:val="24A96C4B"/>
    <w:rsid w:val="24CD7D1D"/>
    <w:rsid w:val="25146820"/>
    <w:rsid w:val="252D72FF"/>
    <w:rsid w:val="25671A91"/>
    <w:rsid w:val="25705CC3"/>
    <w:rsid w:val="257A518B"/>
    <w:rsid w:val="258A03FD"/>
    <w:rsid w:val="26D11723"/>
    <w:rsid w:val="272A498F"/>
    <w:rsid w:val="27651E6B"/>
    <w:rsid w:val="27654D71"/>
    <w:rsid w:val="27A209C9"/>
    <w:rsid w:val="27F048F2"/>
    <w:rsid w:val="28333D17"/>
    <w:rsid w:val="28EF5E90"/>
    <w:rsid w:val="29087118"/>
    <w:rsid w:val="294D1B7A"/>
    <w:rsid w:val="2987431B"/>
    <w:rsid w:val="29E51041"/>
    <w:rsid w:val="29F90F33"/>
    <w:rsid w:val="29FF65A7"/>
    <w:rsid w:val="2A6C2F30"/>
    <w:rsid w:val="2AAF3B29"/>
    <w:rsid w:val="2B465B0F"/>
    <w:rsid w:val="2B484470"/>
    <w:rsid w:val="2B6F6960"/>
    <w:rsid w:val="2BBF3F3C"/>
    <w:rsid w:val="2C071581"/>
    <w:rsid w:val="2C4D3F98"/>
    <w:rsid w:val="2C850896"/>
    <w:rsid w:val="2D263E4A"/>
    <w:rsid w:val="2DA76F47"/>
    <w:rsid w:val="2DD35D80"/>
    <w:rsid w:val="2E456552"/>
    <w:rsid w:val="2E5642BC"/>
    <w:rsid w:val="2F2912CB"/>
    <w:rsid w:val="2F8135BA"/>
    <w:rsid w:val="2FF8154F"/>
    <w:rsid w:val="301A3836"/>
    <w:rsid w:val="304A76C1"/>
    <w:rsid w:val="309E2A2A"/>
    <w:rsid w:val="30A6152A"/>
    <w:rsid w:val="30BA4FD6"/>
    <w:rsid w:val="30C97BA8"/>
    <w:rsid w:val="30F524B2"/>
    <w:rsid w:val="30F97FDA"/>
    <w:rsid w:val="30FB7014"/>
    <w:rsid w:val="310D3357"/>
    <w:rsid w:val="31B43D92"/>
    <w:rsid w:val="31D64C1D"/>
    <w:rsid w:val="32A55811"/>
    <w:rsid w:val="32D37101"/>
    <w:rsid w:val="339B7CC2"/>
    <w:rsid w:val="33AB50A9"/>
    <w:rsid w:val="353F176D"/>
    <w:rsid w:val="3590374C"/>
    <w:rsid w:val="35CD7559"/>
    <w:rsid w:val="36140CE4"/>
    <w:rsid w:val="362A05AA"/>
    <w:rsid w:val="3651529C"/>
    <w:rsid w:val="367D2D2D"/>
    <w:rsid w:val="37175E4C"/>
    <w:rsid w:val="37B00EE0"/>
    <w:rsid w:val="3825542A"/>
    <w:rsid w:val="38BD1744"/>
    <w:rsid w:val="39B22E24"/>
    <w:rsid w:val="3AF76110"/>
    <w:rsid w:val="3AFE7F30"/>
    <w:rsid w:val="3B9A1C8B"/>
    <w:rsid w:val="3C310095"/>
    <w:rsid w:val="3C951AAB"/>
    <w:rsid w:val="3D0B1996"/>
    <w:rsid w:val="3D225256"/>
    <w:rsid w:val="3E32264F"/>
    <w:rsid w:val="3E892B13"/>
    <w:rsid w:val="3EAB2402"/>
    <w:rsid w:val="3EF64EE5"/>
    <w:rsid w:val="3F43263A"/>
    <w:rsid w:val="3FDA6860"/>
    <w:rsid w:val="4013200C"/>
    <w:rsid w:val="401B08DC"/>
    <w:rsid w:val="406F4649"/>
    <w:rsid w:val="40926705"/>
    <w:rsid w:val="40EA7968"/>
    <w:rsid w:val="416E4D94"/>
    <w:rsid w:val="41885724"/>
    <w:rsid w:val="41B71C25"/>
    <w:rsid w:val="41D551FB"/>
    <w:rsid w:val="41E503C5"/>
    <w:rsid w:val="422E137F"/>
    <w:rsid w:val="42582276"/>
    <w:rsid w:val="426C4BE1"/>
    <w:rsid w:val="429D02B3"/>
    <w:rsid w:val="433504EC"/>
    <w:rsid w:val="435D21E7"/>
    <w:rsid w:val="43B81849"/>
    <w:rsid w:val="4459215B"/>
    <w:rsid w:val="44A678F3"/>
    <w:rsid w:val="45230F44"/>
    <w:rsid w:val="465E4B2D"/>
    <w:rsid w:val="46985BD9"/>
    <w:rsid w:val="46BC184B"/>
    <w:rsid w:val="46DF7CA1"/>
    <w:rsid w:val="46F41277"/>
    <w:rsid w:val="476E1661"/>
    <w:rsid w:val="47863563"/>
    <w:rsid w:val="485047C5"/>
    <w:rsid w:val="489C3E29"/>
    <w:rsid w:val="491C3891"/>
    <w:rsid w:val="492F01F2"/>
    <w:rsid w:val="493E1F20"/>
    <w:rsid w:val="49842663"/>
    <w:rsid w:val="49B22A2A"/>
    <w:rsid w:val="4AF829C9"/>
    <w:rsid w:val="4AF84C20"/>
    <w:rsid w:val="4B2B3992"/>
    <w:rsid w:val="4B62641B"/>
    <w:rsid w:val="4B635E11"/>
    <w:rsid w:val="4B7F2C4C"/>
    <w:rsid w:val="4BF21670"/>
    <w:rsid w:val="4C7F6EE1"/>
    <w:rsid w:val="4CAE25A8"/>
    <w:rsid w:val="4D901DBC"/>
    <w:rsid w:val="4E5E123E"/>
    <w:rsid w:val="4E8C5DAC"/>
    <w:rsid w:val="4E9714EE"/>
    <w:rsid w:val="4EDF1713"/>
    <w:rsid w:val="4F6B085B"/>
    <w:rsid w:val="4F6E5F9D"/>
    <w:rsid w:val="4F8A3909"/>
    <w:rsid w:val="4FA01DC3"/>
    <w:rsid w:val="4FBA78C4"/>
    <w:rsid w:val="50460BA0"/>
    <w:rsid w:val="505A6618"/>
    <w:rsid w:val="50817A5F"/>
    <w:rsid w:val="514B674C"/>
    <w:rsid w:val="52354064"/>
    <w:rsid w:val="52391DA6"/>
    <w:rsid w:val="524B3888"/>
    <w:rsid w:val="525E35BB"/>
    <w:rsid w:val="527B1F92"/>
    <w:rsid w:val="53325F0C"/>
    <w:rsid w:val="540E0389"/>
    <w:rsid w:val="54843081"/>
    <w:rsid w:val="549D3E52"/>
    <w:rsid w:val="54DE7FFB"/>
    <w:rsid w:val="54F2623D"/>
    <w:rsid w:val="54FC12BC"/>
    <w:rsid w:val="556F4674"/>
    <w:rsid w:val="55DA73FC"/>
    <w:rsid w:val="56035022"/>
    <w:rsid w:val="56150435"/>
    <w:rsid w:val="561978CD"/>
    <w:rsid w:val="56494582"/>
    <w:rsid w:val="57D367F9"/>
    <w:rsid w:val="57EE4BD9"/>
    <w:rsid w:val="581D1822"/>
    <w:rsid w:val="5881442C"/>
    <w:rsid w:val="590F5381"/>
    <w:rsid w:val="5952374E"/>
    <w:rsid w:val="598C3104"/>
    <w:rsid w:val="5AA955EF"/>
    <w:rsid w:val="5B285878"/>
    <w:rsid w:val="5BBE5663"/>
    <w:rsid w:val="5C6103AB"/>
    <w:rsid w:val="5C7165E1"/>
    <w:rsid w:val="5C7B120D"/>
    <w:rsid w:val="5D654A2E"/>
    <w:rsid w:val="5DFF081E"/>
    <w:rsid w:val="5E2A4C99"/>
    <w:rsid w:val="5E3A4D28"/>
    <w:rsid w:val="5E8B1BDC"/>
    <w:rsid w:val="5EE17D0D"/>
    <w:rsid w:val="5F7206A6"/>
    <w:rsid w:val="602816AC"/>
    <w:rsid w:val="602F6597"/>
    <w:rsid w:val="60A32AE1"/>
    <w:rsid w:val="60C64945"/>
    <w:rsid w:val="61C76829"/>
    <w:rsid w:val="625C24DB"/>
    <w:rsid w:val="62A76382"/>
    <w:rsid w:val="62BC7E8A"/>
    <w:rsid w:val="63910D03"/>
    <w:rsid w:val="63E0397E"/>
    <w:rsid w:val="63EB315C"/>
    <w:rsid w:val="64E77440"/>
    <w:rsid w:val="6591655D"/>
    <w:rsid w:val="660601D8"/>
    <w:rsid w:val="66E90EF9"/>
    <w:rsid w:val="675D60DF"/>
    <w:rsid w:val="67D30150"/>
    <w:rsid w:val="67D930A3"/>
    <w:rsid w:val="67E61C31"/>
    <w:rsid w:val="691E189E"/>
    <w:rsid w:val="69864617"/>
    <w:rsid w:val="69F045D3"/>
    <w:rsid w:val="6AF1726A"/>
    <w:rsid w:val="6B20545A"/>
    <w:rsid w:val="6B4D1B44"/>
    <w:rsid w:val="6B9320D0"/>
    <w:rsid w:val="6BA5310E"/>
    <w:rsid w:val="6C214B0D"/>
    <w:rsid w:val="6E2A4849"/>
    <w:rsid w:val="6EB644BC"/>
    <w:rsid w:val="6ECC76A7"/>
    <w:rsid w:val="6F563F6C"/>
    <w:rsid w:val="6F6063C0"/>
    <w:rsid w:val="6F7E4E45"/>
    <w:rsid w:val="6F9FD7B2"/>
    <w:rsid w:val="6FB54542"/>
    <w:rsid w:val="6FBF54B8"/>
    <w:rsid w:val="6FCC795E"/>
    <w:rsid w:val="700424CE"/>
    <w:rsid w:val="710C41E6"/>
    <w:rsid w:val="712E6B49"/>
    <w:rsid w:val="72201238"/>
    <w:rsid w:val="73351CBE"/>
    <w:rsid w:val="7395346F"/>
    <w:rsid w:val="743C0E2B"/>
    <w:rsid w:val="74561EEC"/>
    <w:rsid w:val="7494077B"/>
    <w:rsid w:val="74BE7A92"/>
    <w:rsid w:val="76085468"/>
    <w:rsid w:val="761E7212"/>
    <w:rsid w:val="77925931"/>
    <w:rsid w:val="77CD6969"/>
    <w:rsid w:val="77E872FF"/>
    <w:rsid w:val="78137551"/>
    <w:rsid w:val="785C7CED"/>
    <w:rsid w:val="78A37771"/>
    <w:rsid w:val="78D6139A"/>
    <w:rsid w:val="798F0351"/>
    <w:rsid w:val="79F71A7C"/>
    <w:rsid w:val="7A5B64AE"/>
    <w:rsid w:val="7A827AD2"/>
    <w:rsid w:val="7A894425"/>
    <w:rsid w:val="7AC45DC4"/>
    <w:rsid w:val="7AE069B4"/>
    <w:rsid w:val="7AF75AAB"/>
    <w:rsid w:val="7B175D6C"/>
    <w:rsid w:val="7B343CCB"/>
    <w:rsid w:val="7B823A75"/>
    <w:rsid w:val="7BEA1CEC"/>
    <w:rsid w:val="7BFF612D"/>
    <w:rsid w:val="7C8C6CE4"/>
    <w:rsid w:val="7CF95B0B"/>
    <w:rsid w:val="7CFA6599"/>
    <w:rsid w:val="7D1D4579"/>
    <w:rsid w:val="7D9A72EE"/>
    <w:rsid w:val="7EE10F4C"/>
    <w:rsid w:val="7EE53AB1"/>
    <w:rsid w:val="7F007624"/>
    <w:rsid w:val="7F7B5078"/>
    <w:rsid w:val="7FB83A5B"/>
    <w:rsid w:val="7FBFD785"/>
    <w:rsid w:val="DBFA7135"/>
    <w:rsid w:val="FAFCE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style>
  <w:style w:type="paragraph" w:styleId="6">
    <w:name w:val="Subtitle"/>
    <w:basedOn w:val="1"/>
    <w:next w:val="1"/>
    <w:link w:val="14"/>
    <w:qFormat/>
    <w:uiPriority w:val="0"/>
    <w:pPr>
      <w:spacing w:before="240" w:after="60" w:line="312" w:lineRule="auto"/>
      <w:jc w:val="center"/>
      <w:outlineLvl w:val="1"/>
    </w:pPr>
    <w:rPr>
      <w:rFonts w:ascii="等线 Light" w:hAnsi="等线 Light" w:eastAsia="宋体"/>
      <w:b/>
      <w:bCs/>
      <w:kern w:val="28"/>
      <w:szCs w:val="3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qFormat/>
    <w:uiPriority w:val="0"/>
    <w:rPr>
      <w:b/>
      <w:bCs/>
    </w:rPr>
  </w:style>
  <w:style w:type="character" w:styleId="12">
    <w:name w:val="Hyperlink"/>
    <w:qFormat/>
    <w:uiPriority w:val="0"/>
    <w:rPr>
      <w:color w:val="0000FF"/>
      <w:u w:val="single"/>
    </w:rPr>
  </w:style>
  <w:style w:type="character" w:customStyle="1" w:styleId="13">
    <w:name w:val="font31"/>
    <w:qFormat/>
    <w:uiPriority w:val="0"/>
    <w:rPr>
      <w:rFonts w:hint="default" w:ascii="仿宋_GB2312" w:eastAsia="仿宋_GB2312" w:cs="仿宋_GB2312"/>
      <w:b/>
      <w:color w:val="000000"/>
      <w:sz w:val="28"/>
      <w:szCs w:val="28"/>
      <w:u w:val="none"/>
    </w:rPr>
  </w:style>
  <w:style w:type="character" w:customStyle="1" w:styleId="14">
    <w:name w:val="副标题 Char"/>
    <w:link w:val="6"/>
    <w:qFormat/>
    <w:uiPriority w:val="0"/>
    <w:rPr>
      <w:rFonts w:ascii="等线 Light" w:hAnsi="等线 Light" w:cs="Times New Roman"/>
      <w:b/>
      <w:bCs/>
      <w:kern w:val="28"/>
      <w:sz w:val="32"/>
      <w:szCs w:val="32"/>
    </w:rPr>
  </w:style>
  <w:style w:type="character" w:customStyle="1" w:styleId="15">
    <w:name w:val="页脚 Char"/>
    <w:link w:val="3"/>
    <w:qFormat/>
    <w:uiPriority w:val="0"/>
    <w:rPr>
      <w:rFonts w:eastAsia="仿宋_GB2312"/>
      <w:kern w:val="2"/>
      <w:sz w:val="18"/>
      <w:szCs w:val="18"/>
    </w:rPr>
  </w:style>
  <w:style w:type="character" w:customStyle="1" w:styleId="16">
    <w:name w:val="页眉 Char"/>
    <w:link w:val="4"/>
    <w:qFormat/>
    <w:uiPriority w:val="0"/>
    <w:rPr>
      <w:rFonts w:eastAsia="仿宋_GB2312"/>
      <w:kern w:val="2"/>
      <w:sz w:val="18"/>
      <w:szCs w:val="18"/>
    </w:rPr>
  </w:style>
  <w:style w:type="character" w:customStyle="1" w:styleId="17">
    <w:name w:val="font01"/>
    <w:qFormat/>
    <w:uiPriority w:val="0"/>
    <w:rPr>
      <w:rFonts w:hint="eastAsia" w:ascii="宋体" w:hAnsi="宋体" w:eastAsia="宋体" w:cs="宋体"/>
      <w:b/>
      <w:color w:val="000000"/>
      <w:sz w:val="28"/>
      <w:szCs w:val="28"/>
      <w:u w:val="none"/>
    </w:rPr>
  </w:style>
  <w:style w:type="character" w:customStyle="1" w:styleId="18">
    <w:name w:val="批注框文本 Char"/>
    <w:basedOn w:val="10"/>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4&#25152;&#26377;&#36164;&#26009;\&#32500;&#26435;&#25253;&#21578;\&#26032;&#24314;%20XLS%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4&#25152;&#26377;&#36164;&#26009;\&#32500;&#26435;&#25253;&#21578;\&#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4&#25152;&#26377;&#36164;&#26009;\&#32500;&#26435;&#25253;&#21578;\&#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4&#25152;&#26377;&#36164;&#26009;\&#32500;&#26435;&#25253;&#21578;\&#26032;&#24314;%20XLS%20&#24037;&#20316;&#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4&#25152;&#26377;&#36164;&#26009;\&#32500;&#26435;&#25253;&#21578;\&#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工作表.xls]月'!$A$7:$A$8</c:f>
              <c:strCache>
                <c:ptCount val="2"/>
                <c:pt idx="0">
                  <c:v>投诉</c:v>
                </c:pt>
                <c:pt idx="1">
                  <c:v>举报</c:v>
                </c:pt>
              </c:strCache>
            </c:strRef>
          </c:cat>
          <c:val>
            <c:numRef>
              <c:f>'[新建 XLS 工作表.xls]月'!$B$7:$B$8</c:f>
              <c:numCache>
                <c:formatCode>0.0%</c:formatCode>
                <c:ptCount val="2"/>
                <c:pt idx="0">
                  <c:v>0.840579710144927</c:v>
                </c:pt>
                <c:pt idx="1">
                  <c:v>0.159420289855072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3ad66c9-354f-4b41-8ece-73b02609de97}"/>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Pt>
            <c:idx val="3"/>
            <c:bubble3D val="0"/>
            <c:explosion val="0"/>
            <c:spPr>
              <a:solidFill>
                <a:schemeClr val="accent4"/>
              </a:solidFill>
              <a:ln>
                <a:solidFill>
                  <a:schemeClr val="bg1"/>
                </a:solidFill>
              </a:ln>
              <a:effectLst/>
            </c:spPr>
          </c:dPt>
          <c:dPt>
            <c:idx val="4"/>
            <c:bubble3D val="0"/>
            <c:explosion val="0"/>
            <c:spPr>
              <a:solidFill>
                <a:schemeClr val="accent5"/>
              </a:solidFill>
              <a:ln>
                <a:solidFill>
                  <a:schemeClr val="bg1"/>
                </a:solidFill>
              </a:ln>
              <a:effectLst/>
            </c:spPr>
          </c:dPt>
          <c:dPt>
            <c:idx val="5"/>
            <c:bubble3D val="0"/>
            <c:explosion val="0"/>
            <c:spPr>
              <a:solidFill>
                <a:schemeClr val="accent6"/>
              </a:solidFill>
              <a:ln>
                <a:solidFill>
                  <a:schemeClr val="bg1"/>
                </a:solidFill>
              </a:ln>
              <a:effectLst/>
            </c:spPr>
          </c:dPt>
          <c:dPt>
            <c:idx val="6"/>
            <c:bubble3D val="0"/>
            <c:explosion val="0"/>
            <c:spPr>
              <a:solidFill>
                <a:schemeClr val="accent1">
                  <a:lumMod val="60000"/>
                </a:schemeClr>
              </a:solidFill>
              <a:ln>
                <a:solidFill>
                  <a:schemeClr val="bg1"/>
                </a:solidFill>
              </a:ln>
              <a:effectLst/>
            </c:spPr>
          </c:dPt>
          <c:dPt>
            <c:idx val="7"/>
            <c:bubble3D val="0"/>
            <c:explosion val="0"/>
            <c:spPr>
              <a:solidFill>
                <a:schemeClr val="accent2">
                  <a:lumMod val="60000"/>
                </a:schemeClr>
              </a:solidFill>
              <a:ln>
                <a:solidFill>
                  <a:schemeClr val="bg1"/>
                </a:solidFill>
              </a:ln>
              <a:effectLst/>
            </c:spPr>
          </c:dPt>
          <c:dPt>
            <c:idx val="8"/>
            <c:bubble3D val="0"/>
            <c:explosion val="0"/>
            <c:spPr>
              <a:solidFill>
                <a:schemeClr val="accent3">
                  <a:lumMod val="60000"/>
                </a:schemeClr>
              </a:solidFill>
              <a:ln>
                <a:solidFill>
                  <a:schemeClr val="bg1"/>
                </a:solidFill>
              </a:ln>
              <a:effectLst/>
            </c:spPr>
          </c:dPt>
          <c:dPt>
            <c:idx val="9"/>
            <c:bubble3D val="0"/>
            <c:explosion val="0"/>
            <c:spPr>
              <a:solidFill>
                <a:schemeClr val="accent4">
                  <a:lumMod val="60000"/>
                </a:schemeClr>
              </a:solidFill>
              <a:ln>
                <a:solidFill>
                  <a:schemeClr val="bg1"/>
                </a:solidFill>
              </a:ln>
              <a:effectLst/>
            </c:spPr>
          </c:dPt>
          <c:dPt>
            <c:idx val="10"/>
            <c:bubble3D val="0"/>
            <c:explosion val="0"/>
            <c:spPr>
              <a:solidFill>
                <a:schemeClr val="accent5">
                  <a:lumMod val="60000"/>
                </a:schemeClr>
              </a:solidFill>
              <a:ln>
                <a:solidFill>
                  <a:schemeClr val="bg1"/>
                </a:solidFill>
              </a:ln>
              <a:effectLst/>
            </c:spPr>
          </c:dPt>
          <c:dPt>
            <c:idx val="11"/>
            <c:bubble3D val="0"/>
            <c:explosion val="0"/>
            <c:spPr>
              <a:solidFill>
                <a:schemeClr val="accent6">
                  <a:lumMod val="60000"/>
                </a:schemeClr>
              </a:solidFill>
              <a:ln>
                <a:solidFill>
                  <a:schemeClr val="bg1"/>
                </a:solidFill>
              </a:ln>
              <a:effectLst/>
            </c:spPr>
          </c:dPt>
          <c:dPt>
            <c:idx val="12"/>
            <c:bubble3D val="0"/>
            <c:explosion val="0"/>
            <c:spPr>
              <a:solidFill>
                <a:schemeClr val="accent1">
                  <a:lumMod val="80000"/>
                  <a:lumOff val="20000"/>
                </a:schemeClr>
              </a:solidFill>
              <a:ln>
                <a:solidFill>
                  <a:schemeClr val="bg1"/>
                </a:solidFill>
              </a:ln>
              <a:effectLst/>
            </c:spPr>
          </c:dPt>
          <c:dPt>
            <c:idx val="13"/>
            <c:bubble3D val="0"/>
            <c:explosion val="0"/>
            <c:spPr>
              <a:solidFill>
                <a:schemeClr val="accent2">
                  <a:lumMod val="80000"/>
                  <a:lumOff val="20000"/>
                </a:schemeClr>
              </a:solidFill>
              <a:ln>
                <a:solidFill>
                  <a:schemeClr val="bg1"/>
                </a:solidFill>
              </a:ln>
              <a:effectLst/>
            </c:spPr>
          </c:dPt>
          <c:dPt>
            <c:idx val="14"/>
            <c:bubble3D val="0"/>
            <c:explosion val="0"/>
            <c:spPr>
              <a:solidFill>
                <a:schemeClr val="accent3">
                  <a:lumMod val="80000"/>
                  <a:lumOff val="20000"/>
                </a:schemeClr>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工作表.xls]月'!$A$31:$A$45</c:f>
              <c:strCache>
                <c:ptCount val="15"/>
                <c:pt idx="0">
                  <c:v>其他</c:v>
                </c:pt>
                <c:pt idx="1">
                  <c:v>食品安全</c:v>
                </c:pt>
                <c:pt idx="2">
                  <c:v>质量</c:v>
                </c:pt>
                <c:pt idx="3">
                  <c:v>售后服务</c:v>
                </c:pt>
                <c:pt idx="4">
                  <c:v>不正当竞争</c:v>
                </c:pt>
                <c:pt idx="5">
                  <c:v>合同</c:v>
                </c:pt>
                <c:pt idx="6">
                  <c:v>价格投诉</c:v>
                </c:pt>
                <c:pt idx="7">
                  <c:v>安全</c:v>
                </c:pt>
                <c:pt idx="8">
                  <c:v>广告</c:v>
                </c:pt>
                <c:pt idx="9">
                  <c:v>标准化</c:v>
                </c:pt>
                <c:pt idx="10">
                  <c:v>人身权利</c:v>
                </c:pt>
                <c:pt idx="11">
                  <c:v>计量</c:v>
                </c:pt>
                <c:pt idx="12">
                  <c:v>认证认可</c:v>
                </c:pt>
                <c:pt idx="13">
                  <c:v>商标</c:v>
                </c:pt>
                <c:pt idx="14">
                  <c:v>地理标志</c:v>
                </c:pt>
              </c:strCache>
            </c:strRef>
          </c:cat>
          <c:val>
            <c:numRef>
              <c:f>'[新建 XLS 工作表.xls]月'!$B$31:$B$45</c:f>
              <c:numCache>
                <c:formatCode>0.0%</c:formatCode>
                <c:ptCount val="15"/>
                <c:pt idx="0">
                  <c:v>0.311576354679803</c:v>
                </c:pt>
                <c:pt idx="1">
                  <c:v>0.213054187192118</c:v>
                </c:pt>
                <c:pt idx="2">
                  <c:v>0.153940886699507</c:v>
                </c:pt>
                <c:pt idx="3">
                  <c:v>0.083743842364532</c:v>
                </c:pt>
                <c:pt idx="4">
                  <c:v>0.0775862068965517</c:v>
                </c:pt>
                <c:pt idx="5">
                  <c:v>0.0467980295566502</c:v>
                </c:pt>
                <c:pt idx="6">
                  <c:v>0.0283251231527094</c:v>
                </c:pt>
                <c:pt idx="7">
                  <c:v>0.0197044334975369</c:v>
                </c:pt>
                <c:pt idx="8">
                  <c:v>0.0172413793103448</c:v>
                </c:pt>
                <c:pt idx="9">
                  <c:v>0.0160098522167488</c:v>
                </c:pt>
                <c:pt idx="10">
                  <c:v>0.0147783251231527</c:v>
                </c:pt>
                <c:pt idx="11">
                  <c:v>0.0135467980295567</c:v>
                </c:pt>
                <c:pt idx="12">
                  <c:v>0.00123152709359606</c:v>
                </c:pt>
                <c:pt idx="13">
                  <c:v>0.00123152709359606</c:v>
                </c:pt>
                <c:pt idx="14">
                  <c:v>0.00123152709359606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74335c6-bb02-42ed-84fe-a390a37d8153}"/>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工作表.xls]月'!$A$49:$A$53</c:f>
              <c:strCache>
                <c:ptCount val="5"/>
                <c:pt idx="0">
                  <c:v>食品</c:v>
                </c:pt>
                <c:pt idx="1">
                  <c:v>服装鞋帽</c:v>
                </c:pt>
                <c:pt idx="2">
                  <c:v>其他商品</c:v>
                </c:pt>
                <c:pt idx="3">
                  <c:v>交通工具</c:v>
                </c:pt>
                <c:pt idx="4">
                  <c:v>家居用品</c:v>
                </c:pt>
              </c:strCache>
            </c:strRef>
          </c:cat>
          <c:val>
            <c:numRef>
              <c:f>'[新建 XLS 工作表.xls]月'!$B$49:$B$53</c:f>
              <c:numCache>
                <c:formatCode>General</c:formatCode>
                <c:ptCount val="5"/>
                <c:pt idx="0">
                  <c:v>196</c:v>
                </c:pt>
                <c:pt idx="1">
                  <c:v>71</c:v>
                </c:pt>
                <c:pt idx="2">
                  <c:v>60</c:v>
                </c:pt>
                <c:pt idx="3">
                  <c:v>39</c:v>
                </c:pt>
                <c:pt idx="4">
                  <c:v>33</c:v>
                </c:pt>
              </c:numCache>
            </c:numRef>
          </c:val>
        </c:ser>
        <c:dLbls>
          <c:showLegendKey val="0"/>
          <c:showVal val="0"/>
          <c:showCatName val="0"/>
          <c:showSerName val="0"/>
          <c:showPercent val="0"/>
          <c:showBubbleSize val="0"/>
        </c:dLbls>
        <c:gapWidth val="219"/>
        <c:overlap val="-27"/>
        <c:axId val="353448533"/>
        <c:axId val="733612646"/>
      </c:barChart>
      <c:catAx>
        <c:axId val="35344853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3612646"/>
        <c:crosses val="autoZero"/>
        <c:auto val="1"/>
        <c:lblAlgn val="ctr"/>
        <c:lblOffset val="100"/>
        <c:noMultiLvlLbl val="0"/>
      </c:catAx>
      <c:valAx>
        <c:axId val="73361264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3448533"/>
        <c:crosses val="autoZero"/>
        <c:crossBetween val="between"/>
      </c:valAx>
      <c:spPr>
        <a:noFill/>
        <a:ln>
          <a:noFill/>
        </a:ln>
        <a:effectLst/>
      </c:spPr>
    </c:plotArea>
    <c:plotVisOnly val="1"/>
    <c:dispBlanksAs val="gap"/>
    <c:showDLblsOverMax val="0"/>
    <c:extLst>
      <c:ext uri="{0b15fc19-7d7d-44ad-8c2d-2c3a37ce22c3}">
        <chartProps xmlns="https://web.wps.cn/et/2018/main" chartId="{d5384412-89d2-49fa-af91-b085d402f398}"/>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工作表.xls]月'!$A$49:$A$53</c:f>
              <c:strCache>
                <c:ptCount val="5"/>
                <c:pt idx="0">
                  <c:v>食品</c:v>
                </c:pt>
                <c:pt idx="1">
                  <c:v>服装鞋帽</c:v>
                </c:pt>
                <c:pt idx="2">
                  <c:v>其他商品</c:v>
                </c:pt>
                <c:pt idx="3">
                  <c:v>交通工具</c:v>
                </c:pt>
                <c:pt idx="4">
                  <c:v>家居用品</c:v>
                </c:pt>
              </c:strCache>
            </c:strRef>
          </c:cat>
          <c:val>
            <c:numRef>
              <c:f>'[新建 XLS 工作表.xls]月'!$B$49:$B$53</c:f>
              <c:numCache>
                <c:formatCode>General</c:formatCode>
                <c:ptCount val="5"/>
                <c:pt idx="0">
                  <c:v>196</c:v>
                </c:pt>
                <c:pt idx="1">
                  <c:v>71</c:v>
                </c:pt>
                <c:pt idx="2">
                  <c:v>60</c:v>
                </c:pt>
                <c:pt idx="3">
                  <c:v>39</c:v>
                </c:pt>
                <c:pt idx="4">
                  <c:v>33</c:v>
                </c:pt>
              </c:numCache>
            </c:numRef>
          </c:val>
        </c:ser>
        <c:dLbls>
          <c:showLegendKey val="0"/>
          <c:showVal val="0"/>
          <c:showCatName val="0"/>
          <c:showSerName val="0"/>
          <c:showPercent val="0"/>
          <c:showBubbleSize val="0"/>
        </c:dLbls>
        <c:gapWidth val="219"/>
        <c:overlap val="-27"/>
        <c:axId val="353448533"/>
        <c:axId val="733612646"/>
      </c:barChart>
      <c:catAx>
        <c:axId val="35344853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3612646"/>
        <c:crosses val="autoZero"/>
        <c:auto val="1"/>
        <c:lblAlgn val="ctr"/>
        <c:lblOffset val="100"/>
        <c:noMultiLvlLbl val="0"/>
      </c:catAx>
      <c:valAx>
        <c:axId val="73361264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3448533"/>
        <c:crosses val="autoZero"/>
        <c:crossBetween val="between"/>
      </c:valAx>
      <c:spPr>
        <a:noFill/>
        <a:ln>
          <a:noFill/>
        </a:ln>
        <a:effectLst/>
      </c:spPr>
    </c:plotArea>
    <c:plotVisOnly val="1"/>
    <c:dispBlanksAs val="gap"/>
    <c:showDLblsOverMax val="0"/>
    <c:extLst>
      <c:ext uri="{0b15fc19-7d7d-44ad-8c2d-2c3a37ce22c3}">
        <chartProps xmlns="https://web.wps.cn/et/2018/main" chartId="{8c699d27-a797-4cf3-8187-2fb0ce3bbf00}"/>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Pt>
            <c:idx val="3"/>
            <c:bubble3D val="0"/>
            <c:explosion val="0"/>
            <c:spPr>
              <a:solidFill>
                <a:schemeClr val="accent4"/>
              </a:solidFill>
              <a:ln>
                <a:solidFill>
                  <a:schemeClr val="bg1"/>
                </a:solidFill>
              </a:ln>
              <a:effectLst/>
            </c:spPr>
          </c:dPt>
          <c:dPt>
            <c:idx val="4"/>
            <c:bubble3D val="0"/>
            <c:explosion val="0"/>
            <c:spPr>
              <a:solidFill>
                <a:schemeClr val="accent5"/>
              </a:solidFill>
              <a:ln>
                <a:solidFill>
                  <a:schemeClr val="bg1"/>
                </a:solidFill>
              </a:ln>
              <a:effectLst/>
            </c:spPr>
          </c:dPt>
          <c:dPt>
            <c:idx val="5"/>
            <c:bubble3D val="0"/>
            <c:explosion val="0"/>
            <c:spPr>
              <a:solidFill>
                <a:schemeClr val="accent6"/>
              </a:solidFill>
              <a:ln>
                <a:solidFill>
                  <a:schemeClr val="bg1"/>
                </a:solidFill>
              </a:ln>
              <a:effectLst/>
            </c:spPr>
          </c:dPt>
          <c:dPt>
            <c:idx val="6"/>
            <c:bubble3D val="0"/>
            <c:explosion val="0"/>
            <c:spPr>
              <a:solidFill>
                <a:schemeClr val="accent1">
                  <a:lumMod val="60000"/>
                </a:schemeClr>
              </a:solidFill>
              <a:ln>
                <a:solidFill>
                  <a:schemeClr val="bg1"/>
                </a:solidFill>
              </a:ln>
              <a:effectLst/>
            </c:spPr>
          </c:dPt>
          <c:dPt>
            <c:idx val="7"/>
            <c:bubble3D val="0"/>
            <c:explosion val="0"/>
            <c:spPr>
              <a:solidFill>
                <a:schemeClr val="accent2">
                  <a:lumMod val="60000"/>
                </a:schemeClr>
              </a:solidFill>
              <a:ln>
                <a:solidFill>
                  <a:schemeClr val="bg1"/>
                </a:solidFill>
              </a:ln>
              <a:effectLst/>
            </c:spPr>
          </c:dPt>
          <c:dPt>
            <c:idx val="8"/>
            <c:bubble3D val="0"/>
            <c:explosion val="0"/>
            <c:spPr>
              <a:solidFill>
                <a:schemeClr val="accent3">
                  <a:lumMod val="60000"/>
                </a:schemeClr>
              </a:solidFill>
              <a:ln>
                <a:solidFill>
                  <a:schemeClr val="bg1"/>
                </a:solidFill>
              </a:ln>
              <a:effectLst/>
            </c:spPr>
          </c:dPt>
          <c:dPt>
            <c:idx val="9"/>
            <c:bubble3D val="0"/>
            <c:explosion val="0"/>
            <c:spPr>
              <a:solidFill>
                <a:schemeClr val="accent4">
                  <a:lumMod val="60000"/>
                </a:schemeClr>
              </a:solidFill>
              <a:ln>
                <a:solidFill>
                  <a:schemeClr val="bg1"/>
                </a:solidFill>
              </a:ln>
              <a:effectLst/>
            </c:spPr>
          </c:dPt>
          <c:dPt>
            <c:idx val="10"/>
            <c:bubble3D val="0"/>
            <c:explosion val="0"/>
            <c:spPr>
              <a:solidFill>
                <a:schemeClr val="accent5">
                  <a:lumMod val="60000"/>
                </a:schemeClr>
              </a:solidFill>
              <a:ln>
                <a:solidFill>
                  <a:schemeClr val="bg1"/>
                </a:solidFill>
              </a:ln>
              <a:effectLst/>
            </c:spPr>
          </c:dPt>
          <c:dPt>
            <c:idx val="11"/>
            <c:bubble3D val="0"/>
            <c:explosion val="0"/>
            <c:spPr>
              <a:solidFill>
                <a:schemeClr val="accent6">
                  <a:lumMod val="60000"/>
                </a:schemeClr>
              </a:solidFill>
              <a:ln>
                <a:solidFill>
                  <a:schemeClr val="bg1"/>
                </a:solidFill>
              </a:ln>
              <a:effectLst/>
            </c:spPr>
          </c:dPt>
          <c:dPt>
            <c:idx val="12"/>
            <c:bubble3D val="0"/>
            <c:explosion val="0"/>
            <c:spPr>
              <a:solidFill>
                <a:schemeClr val="accent1">
                  <a:lumMod val="80000"/>
                  <a:lumOff val="20000"/>
                </a:schemeClr>
              </a:solidFill>
              <a:ln>
                <a:solidFill>
                  <a:schemeClr val="bg1"/>
                </a:solidFill>
              </a:ln>
              <a:effectLst/>
            </c:spPr>
          </c:dPt>
          <c:dPt>
            <c:idx val="13"/>
            <c:bubble3D val="0"/>
            <c:explosion val="0"/>
            <c:spPr>
              <a:solidFill>
                <a:schemeClr val="accent2">
                  <a:lumMod val="80000"/>
                  <a:lumOff val="20000"/>
                </a:schemeClr>
              </a:solidFill>
              <a:ln>
                <a:solidFill>
                  <a:schemeClr val="bg1"/>
                </a:solidFill>
              </a:ln>
              <a:effectLst/>
            </c:spPr>
          </c:dPt>
          <c:dPt>
            <c:idx val="14"/>
            <c:bubble3D val="0"/>
            <c:explosion val="0"/>
            <c:spPr>
              <a:solidFill>
                <a:schemeClr val="accent3">
                  <a:lumMod val="80000"/>
                  <a:lumOff val="20000"/>
                </a:schemeClr>
              </a:solidFill>
              <a:ln>
                <a:solidFill>
                  <a:schemeClr val="bg1"/>
                </a:solidFill>
              </a:ln>
              <a:effectLst/>
            </c:spPr>
          </c:dPt>
          <c:dPt>
            <c:idx val="15"/>
            <c:bubble3D val="0"/>
            <c:explosion val="0"/>
            <c:spPr>
              <a:solidFill>
                <a:schemeClr val="accent4">
                  <a:lumMod val="80000"/>
                  <a:lumOff val="20000"/>
                </a:schemeClr>
              </a:solidFill>
              <a:ln>
                <a:solidFill>
                  <a:schemeClr val="bg1"/>
                </a:solidFill>
              </a:ln>
              <a:effectLst/>
            </c:spPr>
          </c:dPt>
          <c:dPt>
            <c:idx val="16"/>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工作表.xls]月'!$A$86:$A$102</c:f>
              <c:strCache>
                <c:ptCount val="17"/>
                <c:pt idx="0" c:formatCode="0.0%">
                  <c:v>其他市场监管领域违法行为</c:v>
                </c:pt>
                <c:pt idx="1" c:formatCode="0.0%">
                  <c:v>侵害消费者权益行为</c:v>
                </c:pt>
                <c:pt idx="2" c:formatCode="0.0%">
                  <c:v>食品安全违法行为</c:v>
                </c:pt>
                <c:pt idx="3" c:formatCode="0.0%">
                  <c:v>不正当竞争行为</c:v>
                </c:pt>
                <c:pt idx="4" c:formatCode="0.0%">
                  <c:v>广告违法行为</c:v>
                </c:pt>
                <c:pt idx="5" c:formatCode="0.0%">
                  <c:v>标准化违法行为</c:v>
                </c:pt>
                <c:pt idx="6" c:formatCode="0.0%">
                  <c:v>传销行为</c:v>
                </c:pt>
                <c:pt idx="7" c:formatCode="0.0%">
                  <c:v>产品质量违法行为</c:v>
                </c:pt>
                <c:pt idx="8" c:formatCode="0.0%">
                  <c:v>网络交易违法行为</c:v>
                </c:pt>
                <c:pt idx="9" c:formatCode="0.0%">
                  <c:v>价格违法行为</c:v>
                </c:pt>
                <c:pt idx="10" c:formatCode="0.0%">
                  <c:v>计量违法行为</c:v>
                </c:pt>
                <c:pt idx="11" c:formatCode="0.0%">
                  <c:v>生产许可违法行为</c:v>
                </c:pt>
                <c:pt idx="12" c:formatCode="0.0%">
                  <c:v>违反登记管理行为</c:v>
                </c:pt>
                <c:pt idx="13" c:formatCode="0.0%">
                  <c:v>合同行政违法行为</c:v>
                </c:pt>
                <c:pt idx="14" c:formatCode="0.0%">
                  <c:v>直销违规行为</c:v>
                </c:pt>
                <c:pt idx="15" c:formatCode="0.0%">
                  <c:v>药品问题</c:v>
                </c:pt>
                <c:pt idx="16" c:formatCode="0.0%">
                  <c:v>认证认可违法行为</c:v>
                </c:pt>
              </c:strCache>
            </c:strRef>
          </c:cat>
          <c:val>
            <c:numRef>
              <c:f>'[新建 XLS 工作表.xls]月'!$B$86:$B$102</c:f>
              <c:numCache>
                <c:formatCode>0.0%</c:formatCode>
                <c:ptCount val="17"/>
                <c:pt idx="0">
                  <c:v>0.331168831168831</c:v>
                </c:pt>
                <c:pt idx="1">
                  <c:v>0.175324675324675</c:v>
                </c:pt>
                <c:pt idx="2">
                  <c:v>0.155844155844156</c:v>
                </c:pt>
                <c:pt idx="3">
                  <c:v>0.0974025974025974</c:v>
                </c:pt>
                <c:pt idx="4">
                  <c:v>0.0779220779220779</c:v>
                </c:pt>
                <c:pt idx="5">
                  <c:v>0.0324675324675325</c:v>
                </c:pt>
                <c:pt idx="6">
                  <c:v>0.025974025974026</c:v>
                </c:pt>
                <c:pt idx="7">
                  <c:v>0.0194805194805195</c:v>
                </c:pt>
                <c:pt idx="8">
                  <c:v>0.012987012987013</c:v>
                </c:pt>
                <c:pt idx="9">
                  <c:v>0.012987012987013</c:v>
                </c:pt>
                <c:pt idx="10">
                  <c:v>0.012987012987013</c:v>
                </c:pt>
                <c:pt idx="11">
                  <c:v>0.012987012987013</c:v>
                </c:pt>
                <c:pt idx="12">
                  <c:v>0.00649350649350649</c:v>
                </c:pt>
                <c:pt idx="13">
                  <c:v>0.00649350649350649</c:v>
                </c:pt>
                <c:pt idx="14">
                  <c:v>0.00649350649350649</c:v>
                </c:pt>
                <c:pt idx="15">
                  <c:v>0.00649350649350649</c:v>
                </c:pt>
                <c:pt idx="16">
                  <c:v>0.00649350649350649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4a02135-07f7-4043-84cc-c1f1a3586d54}"/>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1518</Words>
  <Characters>1639</Characters>
  <Lines>12</Lines>
  <Paragraphs>3</Paragraphs>
  <TotalTime>10</TotalTime>
  <ScaleCrop>false</ScaleCrop>
  <LinksUpToDate>false</LinksUpToDate>
  <CharactersWithSpaces>1639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2021-06-07T09:05:00Z</dcterms:created>
  <dc:creator>NTKO</dc:creator>
  <cp:lastModifiedBy>静守时光，以待流年</cp:lastModifiedBy>
  <cp:lastPrinted>2016-10-09T09:23:00Z</cp:lastPrinted>
  <dcterms:modified xsi:type="dcterms:W3CDTF">2024-10-24T08:28:01Z</dcterms:modified>
  <dc:title>济源市工商局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AA5F84A769F14DF5AC07DC732546DB3B</vt:lpwstr>
  </property>
</Properties>
</file>