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76" w:rsidRDefault="00760279">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水泥、水泥熟料产品质量济源市监督抽查</w:t>
      </w:r>
    </w:p>
    <w:p w:rsidR="00514776" w:rsidRDefault="00760279">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实施细则</w:t>
      </w:r>
    </w:p>
    <w:p w:rsidR="00514776" w:rsidRPr="00680D26" w:rsidRDefault="00760279">
      <w:pPr>
        <w:spacing w:line="5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（202</w:t>
      </w:r>
      <w:r w:rsidR="00EC1CC5" w:rsidRPr="00680D26">
        <w:rPr>
          <w:rFonts w:ascii="仿宋" w:eastAsia="仿宋" w:hAnsi="仿宋" w:cs="华文仿宋" w:hint="eastAsia"/>
          <w:color w:val="000000"/>
          <w:sz w:val="32"/>
          <w:szCs w:val="32"/>
        </w:rPr>
        <w:t>5</w:t>
      </w:r>
      <w:r w:rsidRPr="00680D26">
        <w:rPr>
          <w:rFonts w:ascii="仿宋" w:eastAsia="仿宋" w:hAnsi="仿宋" w:cs="华文仿宋" w:hint="eastAsia"/>
          <w:color w:val="000000"/>
          <w:sz w:val="32"/>
          <w:szCs w:val="32"/>
        </w:rPr>
        <w:t>年版）</w:t>
      </w:r>
    </w:p>
    <w:p w:rsidR="00514776" w:rsidRPr="00680D26" w:rsidRDefault="00514776">
      <w:pPr>
        <w:spacing w:line="560" w:lineRule="exact"/>
        <w:jc w:val="center"/>
        <w:rPr>
          <w:rFonts w:ascii="仿宋" w:eastAsia="仿宋" w:hAnsi="仿宋" w:cs="华文仿宋"/>
          <w:color w:val="000000"/>
          <w:sz w:val="32"/>
          <w:szCs w:val="32"/>
        </w:rPr>
      </w:pP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本细则适用济源市市场监督管理局组织的水泥、水泥熟料产品质量监督抽查。本细则规定了此产品的抽样方法、检验依据、检验项目、检验方法、判定规则等。</w:t>
      </w:r>
    </w:p>
    <w:p w:rsidR="00514776" w:rsidRPr="00680D26" w:rsidRDefault="00760279" w:rsidP="00680D26">
      <w:pPr>
        <w:spacing w:line="560" w:lineRule="exact"/>
        <w:ind w:firstLineChars="200" w:firstLine="643"/>
        <w:rPr>
          <w:rFonts w:ascii="仿宋" w:eastAsia="仿宋" w:hAnsi="仿宋" w:cs="华文仿宋"/>
          <w:b/>
          <w:bCs/>
          <w:sz w:val="32"/>
          <w:szCs w:val="32"/>
        </w:rPr>
      </w:pPr>
      <w:r w:rsidRPr="00680D26">
        <w:rPr>
          <w:rFonts w:ascii="仿宋" w:eastAsia="仿宋" w:hAnsi="仿宋" w:cs="华文仿宋" w:hint="eastAsia"/>
          <w:b/>
          <w:bCs/>
          <w:color w:val="000000"/>
          <w:sz w:val="32"/>
          <w:szCs w:val="32"/>
        </w:rPr>
        <w:t>1 抽样方法及数量</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以随机抽样的方式在被抽样生产者、销售者的待销产品中抽取。</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随机数一般可使用随机数表等方法产生。</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通用硅酸盐水泥：每批次抽取的样品数量不得少于20kg，将样品均分为两份，每份至少10kg，其中一份为检验样品，另一份为备用样品。</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硅酸盐水泥熟料：每批次抽取的样品数量不得少于20kg，将样品均分为两份，每份至少10kg，其中一份为检验样品，另一份为备用样品。</w:t>
      </w:r>
    </w:p>
    <w:p w:rsidR="00514776" w:rsidRPr="00680D26" w:rsidRDefault="00760279" w:rsidP="00680D26">
      <w:pPr>
        <w:spacing w:line="560" w:lineRule="exact"/>
        <w:ind w:firstLineChars="200" w:firstLine="643"/>
        <w:rPr>
          <w:rFonts w:ascii="仿宋" w:eastAsia="仿宋" w:hAnsi="仿宋" w:cs="华文仿宋"/>
          <w:b/>
          <w:bCs/>
          <w:color w:val="000000"/>
          <w:sz w:val="32"/>
          <w:szCs w:val="32"/>
        </w:rPr>
      </w:pPr>
      <w:r w:rsidRPr="00680D26">
        <w:rPr>
          <w:rFonts w:ascii="仿宋" w:eastAsia="仿宋" w:hAnsi="仿宋" w:cs="华文仿宋" w:hint="eastAsia"/>
          <w:b/>
          <w:bCs/>
          <w:color w:val="000000"/>
          <w:sz w:val="32"/>
          <w:szCs w:val="32"/>
        </w:rPr>
        <w:t>2 检验依据</w:t>
      </w:r>
    </w:p>
    <w:p w:rsidR="00514776" w:rsidRPr="00680D26" w:rsidRDefault="00760279">
      <w:pPr>
        <w:spacing w:line="560" w:lineRule="exact"/>
        <w:jc w:val="center"/>
        <w:rPr>
          <w:rFonts w:ascii="仿宋" w:eastAsia="仿宋" w:hAnsi="仿宋" w:cs="华文仿宋"/>
          <w:b/>
          <w:sz w:val="32"/>
          <w:szCs w:val="32"/>
        </w:rPr>
      </w:pPr>
      <w:r w:rsidRPr="00680D26">
        <w:rPr>
          <w:rFonts w:ascii="仿宋" w:eastAsia="仿宋" w:hAnsi="仿宋" w:cs="华文仿宋" w:hint="eastAsia"/>
          <w:b/>
          <w:sz w:val="32"/>
          <w:szCs w:val="32"/>
        </w:rPr>
        <w:t>表</w:t>
      </w:r>
      <w:r w:rsidR="00EC1CC5" w:rsidRPr="00680D26">
        <w:rPr>
          <w:rFonts w:ascii="仿宋" w:eastAsia="仿宋" w:hAnsi="仿宋" w:cs="华文仿宋" w:hint="eastAsia"/>
          <w:b/>
          <w:sz w:val="32"/>
          <w:szCs w:val="32"/>
        </w:rPr>
        <w:t>1</w:t>
      </w:r>
      <w:r w:rsidRPr="00680D26">
        <w:rPr>
          <w:rFonts w:ascii="仿宋" w:eastAsia="仿宋" w:hAnsi="仿宋" w:cs="华文仿宋" w:hint="eastAsia"/>
          <w:b/>
          <w:sz w:val="32"/>
          <w:szCs w:val="32"/>
        </w:rPr>
        <w:t xml:space="preserve"> 通用硅酸盐水泥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4803"/>
        <w:gridCol w:w="3213"/>
      </w:tblGrid>
      <w:tr w:rsidR="00514776" w:rsidRPr="00680D26">
        <w:trPr>
          <w:trHeight w:val="352"/>
          <w:tblHeader/>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序号</w:t>
            </w:r>
          </w:p>
        </w:tc>
        <w:tc>
          <w:tcPr>
            <w:tcW w:w="4803"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检验项目</w:t>
            </w:r>
          </w:p>
        </w:tc>
        <w:tc>
          <w:tcPr>
            <w:tcW w:w="3213" w:type="dxa"/>
            <w:tcBorders>
              <w:bottom w:val="single" w:sz="4" w:space="0" w:color="auto"/>
            </w:tcBorders>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检验方法</w:t>
            </w:r>
          </w:p>
        </w:tc>
      </w:tr>
      <w:tr w:rsidR="00514776" w:rsidRPr="00680D26">
        <w:trPr>
          <w:trHeight w:val="90"/>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1</w:t>
            </w:r>
          </w:p>
        </w:tc>
        <w:tc>
          <w:tcPr>
            <w:tcW w:w="4803" w:type="dxa"/>
            <w:tcBorders>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不溶物</w:t>
            </w:r>
          </w:p>
        </w:tc>
        <w:tc>
          <w:tcPr>
            <w:tcW w:w="3213" w:type="dxa"/>
            <w:vMerge w:val="restart"/>
            <w:vAlign w:val="center"/>
          </w:tcPr>
          <w:p w:rsidR="00514776" w:rsidRPr="00680D26" w:rsidRDefault="001A7A34">
            <w:pPr>
              <w:spacing w:line="360" w:lineRule="exact"/>
              <w:jc w:val="center"/>
              <w:rPr>
                <w:rFonts w:ascii="仿宋" w:eastAsia="仿宋" w:hAnsi="仿宋" w:cs="华文仿宋"/>
                <w:sz w:val="32"/>
                <w:szCs w:val="32"/>
              </w:rPr>
            </w:pPr>
            <w:hyperlink r:id="rId8" w:tooltip="点击查看标准详细信息" w:history="1">
              <w:r w:rsidR="00760279" w:rsidRPr="00680D26">
                <w:rPr>
                  <w:rFonts w:ascii="仿宋" w:eastAsia="仿宋" w:hAnsi="仿宋" w:cs="华文仿宋" w:hint="eastAsia"/>
                  <w:sz w:val="32"/>
                  <w:szCs w:val="32"/>
                </w:rPr>
                <w:t>GB/T 176</w:t>
              </w:r>
            </w:hyperlink>
            <w:r w:rsidR="00760279" w:rsidRPr="00680D26">
              <w:rPr>
                <w:rFonts w:ascii="仿宋" w:eastAsia="仿宋" w:hAnsi="仿宋" w:cs="华文仿宋" w:hint="eastAsia"/>
                <w:sz w:val="32"/>
                <w:szCs w:val="32"/>
              </w:rPr>
              <w:t>—2017</w:t>
            </w:r>
          </w:p>
        </w:tc>
      </w:tr>
      <w:tr w:rsidR="00514776" w:rsidRPr="00680D26">
        <w:trPr>
          <w:trHeight w:val="243"/>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2</w:t>
            </w:r>
          </w:p>
        </w:tc>
        <w:tc>
          <w:tcPr>
            <w:tcW w:w="4803" w:type="dxa"/>
            <w:tcBorders>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烧失量</w:t>
            </w:r>
          </w:p>
        </w:tc>
        <w:tc>
          <w:tcPr>
            <w:tcW w:w="3213" w:type="dxa"/>
            <w:vMerge/>
            <w:vAlign w:val="center"/>
          </w:tcPr>
          <w:p w:rsidR="00514776" w:rsidRPr="00680D26" w:rsidRDefault="00514776">
            <w:pPr>
              <w:spacing w:line="360" w:lineRule="exact"/>
              <w:jc w:val="center"/>
              <w:rPr>
                <w:rFonts w:ascii="仿宋" w:eastAsia="仿宋" w:hAnsi="仿宋" w:cs="华文仿宋"/>
                <w:sz w:val="32"/>
                <w:szCs w:val="32"/>
              </w:rPr>
            </w:pPr>
          </w:p>
        </w:tc>
      </w:tr>
      <w:tr w:rsidR="00514776" w:rsidRPr="00680D26">
        <w:trPr>
          <w:trHeight w:val="182"/>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3</w:t>
            </w:r>
          </w:p>
        </w:tc>
        <w:tc>
          <w:tcPr>
            <w:tcW w:w="4803" w:type="dxa"/>
            <w:tcBorders>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三氧化硫</w:t>
            </w:r>
          </w:p>
        </w:tc>
        <w:tc>
          <w:tcPr>
            <w:tcW w:w="3213" w:type="dxa"/>
            <w:vMerge/>
            <w:vAlign w:val="center"/>
          </w:tcPr>
          <w:p w:rsidR="00514776" w:rsidRPr="00680D26" w:rsidRDefault="00514776">
            <w:pPr>
              <w:spacing w:line="360" w:lineRule="exact"/>
              <w:jc w:val="center"/>
              <w:rPr>
                <w:rFonts w:ascii="仿宋" w:eastAsia="仿宋" w:hAnsi="仿宋" w:cs="华文仿宋"/>
                <w:sz w:val="32"/>
                <w:szCs w:val="32"/>
              </w:rPr>
            </w:pPr>
          </w:p>
        </w:tc>
      </w:tr>
      <w:tr w:rsidR="00514776" w:rsidRPr="00680D26">
        <w:trPr>
          <w:trHeight w:val="268"/>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4</w:t>
            </w:r>
          </w:p>
        </w:tc>
        <w:tc>
          <w:tcPr>
            <w:tcW w:w="4803" w:type="dxa"/>
            <w:tcBorders>
              <w:bottom w:val="single" w:sz="4" w:space="0" w:color="auto"/>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氧化镁</w:t>
            </w:r>
          </w:p>
        </w:tc>
        <w:tc>
          <w:tcPr>
            <w:tcW w:w="3213" w:type="dxa"/>
            <w:vMerge/>
            <w:vAlign w:val="center"/>
          </w:tcPr>
          <w:p w:rsidR="00514776" w:rsidRPr="00680D26" w:rsidRDefault="00514776">
            <w:pPr>
              <w:spacing w:line="360" w:lineRule="exact"/>
              <w:jc w:val="center"/>
              <w:rPr>
                <w:rFonts w:ascii="仿宋" w:eastAsia="仿宋" w:hAnsi="仿宋" w:cs="华文仿宋"/>
                <w:sz w:val="32"/>
                <w:szCs w:val="32"/>
              </w:rPr>
            </w:pPr>
          </w:p>
        </w:tc>
      </w:tr>
      <w:tr w:rsidR="00514776" w:rsidRPr="00680D26">
        <w:trPr>
          <w:trHeight w:val="301"/>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5</w:t>
            </w:r>
          </w:p>
        </w:tc>
        <w:tc>
          <w:tcPr>
            <w:tcW w:w="4803" w:type="dxa"/>
            <w:tcBorders>
              <w:bottom w:val="single" w:sz="4" w:space="0" w:color="auto"/>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氯离子</w:t>
            </w:r>
          </w:p>
        </w:tc>
        <w:tc>
          <w:tcPr>
            <w:tcW w:w="3213" w:type="dxa"/>
            <w:vMerge/>
            <w:vAlign w:val="center"/>
          </w:tcPr>
          <w:p w:rsidR="00514776" w:rsidRPr="00680D26" w:rsidRDefault="00514776">
            <w:pPr>
              <w:spacing w:line="360" w:lineRule="exact"/>
              <w:jc w:val="center"/>
              <w:rPr>
                <w:rFonts w:ascii="仿宋" w:eastAsia="仿宋" w:hAnsi="仿宋" w:cs="华文仿宋"/>
                <w:sz w:val="32"/>
                <w:szCs w:val="32"/>
              </w:rPr>
            </w:pPr>
          </w:p>
        </w:tc>
      </w:tr>
      <w:tr w:rsidR="00514776" w:rsidRPr="00680D26">
        <w:trPr>
          <w:trHeight w:val="295"/>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lastRenderedPageBreak/>
              <w:t>6</w:t>
            </w:r>
          </w:p>
        </w:tc>
        <w:tc>
          <w:tcPr>
            <w:tcW w:w="4803" w:type="dxa"/>
            <w:tcBorders>
              <w:bottom w:val="single" w:sz="4" w:space="0" w:color="auto"/>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凝结时间</w:t>
            </w:r>
          </w:p>
        </w:tc>
        <w:tc>
          <w:tcPr>
            <w:tcW w:w="3213" w:type="dxa"/>
            <w:vAlign w:val="center"/>
          </w:tcPr>
          <w:p w:rsidR="00514776" w:rsidRPr="00627253" w:rsidRDefault="001A7A34" w:rsidP="00680D26">
            <w:pPr>
              <w:spacing w:line="360" w:lineRule="exact"/>
              <w:jc w:val="center"/>
              <w:rPr>
                <w:rFonts w:ascii="仿宋" w:eastAsia="仿宋" w:hAnsi="仿宋" w:cs="华文仿宋"/>
                <w:color w:val="000000" w:themeColor="text1"/>
                <w:sz w:val="32"/>
                <w:szCs w:val="32"/>
              </w:rPr>
            </w:pPr>
            <w:hyperlink r:id="rId9" w:tooltip="点击查看标准详细信息" w:history="1">
              <w:r w:rsidR="00760279" w:rsidRPr="00627253">
                <w:rPr>
                  <w:rFonts w:ascii="仿宋" w:eastAsia="仿宋" w:hAnsi="仿宋" w:cs="华文仿宋" w:hint="eastAsia"/>
                  <w:color w:val="000000" w:themeColor="text1"/>
                  <w:sz w:val="32"/>
                  <w:szCs w:val="32"/>
                </w:rPr>
                <w:t>GB/T 1346</w:t>
              </w:r>
            </w:hyperlink>
            <w:r w:rsidR="00760279" w:rsidRPr="00627253">
              <w:rPr>
                <w:rFonts w:ascii="仿宋" w:eastAsia="仿宋" w:hAnsi="仿宋" w:cs="华文仿宋" w:hint="eastAsia"/>
                <w:color w:val="000000" w:themeColor="text1"/>
                <w:sz w:val="32"/>
                <w:szCs w:val="32"/>
              </w:rPr>
              <w:t>—20</w:t>
            </w:r>
            <w:r w:rsidR="00680D26" w:rsidRPr="00627253">
              <w:rPr>
                <w:rFonts w:ascii="仿宋" w:eastAsia="仿宋" w:hAnsi="仿宋" w:cs="华文仿宋" w:hint="eastAsia"/>
                <w:color w:val="000000" w:themeColor="text1"/>
                <w:sz w:val="32"/>
                <w:szCs w:val="32"/>
              </w:rPr>
              <w:t>24</w:t>
            </w:r>
          </w:p>
        </w:tc>
      </w:tr>
      <w:tr w:rsidR="00514776" w:rsidRPr="00680D26">
        <w:trPr>
          <w:trHeight w:val="276"/>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7</w:t>
            </w:r>
          </w:p>
        </w:tc>
        <w:tc>
          <w:tcPr>
            <w:tcW w:w="4803" w:type="dxa"/>
            <w:tcBorders>
              <w:top w:val="single" w:sz="4" w:space="0" w:color="auto"/>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安定性</w:t>
            </w:r>
          </w:p>
        </w:tc>
        <w:tc>
          <w:tcPr>
            <w:tcW w:w="3213" w:type="dxa"/>
            <w:tcBorders>
              <w:top w:val="single" w:sz="4" w:space="0" w:color="auto"/>
            </w:tcBorders>
            <w:vAlign w:val="center"/>
          </w:tcPr>
          <w:p w:rsidR="00514776" w:rsidRPr="00627253" w:rsidRDefault="001A7A34">
            <w:pPr>
              <w:spacing w:line="360" w:lineRule="exact"/>
              <w:jc w:val="center"/>
              <w:rPr>
                <w:rFonts w:ascii="仿宋" w:eastAsia="仿宋" w:hAnsi="仿宋" w:cs="华文仿宋"/>
                <w:color w:val="000000" w:themeColor="text1"/>
                <w:sz w:val="32"/>
                <w:szCs w:val="32"/>
              </w:rPr>
            </w:pPr>
            <w:hyperlink r:id="rId10" w:tooltip="点击查看标准详细信息" w:history="1">
              <w:r w:rsidR="00760279" w:rsidRPr="00627253">
                <w:rPr>
                  <w:rFonts w:ascii="仿宋" w:eastAsia="仿宋" w:hAnsi="仿宋" w:cs="华文仿宋" w:hint="eastAsia"/>
                  <w:color w:val="000000" w:themeColor="text1"/>
                  <w:sz w:val="32"/>
                  <w:szCs w:val="32"/>
                </w:rPr>
                <w:t>GB/T 1346</w:t>
              </w:r>
            </w:hyperlink>
            <w:r w:rsidR="00760279" w:rsidRPr="00627253">
              <w:rPr>
                <w:rFonts w:ascii="仿宋" w:eastAsia="仿宋" w:hAnsi="仿宋" w:cs="华文仿宋" w:hint="eastAsia"/>
                <w:color w:val="000000" w:themeColor="text1"/>
                <w:sz w:val="32"/>
                <w:szCs w:val="32"/>
              </w:rPr>
              <w:t>—20</w:t>
            </w:r>
            <w:r w:rsidR="00680D26" w:rsidRPr="00627253">
              <w:rPr>
                <w:rFonts w:ascii="仿宋" w:eastAsia="仿宋" w:hAnsi="仿宋" w:cs="华文仿宋" w:hint="eastAsia"/>
                <w:color w:val="000000" w:themeColor="text1"/>
                <w:sz w:val="32"/>
                <w:szCs w:val="32"/>
              </w:rPr>
              <w:t>24</w:t>
            </w:r>
          </w:p>
          <w:p w:rsidR="00514776" w:rsidRPr="00627253" w:rsidRDefault="001A7A34">
            <w:pPr>
              <w:spacing w:line="360" w:lineRule="exact"/>
              <w:jc w:val="center"/>
              <w:rPr>
                <w:rFonts w:ascii="仿宋" w:eastAsia="仿宋" w:hAnsi="仿宋" w:cs="华文仿宋"/>
                <w:color w:val="000000" w:themeColor="text1"/>
                <w:sz w:val="32"/>
                <w:szCs w:val="32"/>
              </w:rPr>
            </w:pPr>
            <w:hyperlink r:id="rId11" w:tooltip="点击查看标准详细信息" w:history="1">
              <w:r w:rsidR="00760279" w:rsidRPr="00627253">
                <w:rPr>
                  <w:rFonts w:ascii="仿宋" w:eastAsia="仿宋" w:hAnsi="仿宋" w:cs="华文仿宋" w:hint="eastAsia"/>
                  <w:color w:val="000000" w:themeColor="text1"/>
                  <w:sz w:val="32"/>
                  <w:szCs w:val="32"/>
                </w:rPr>
                <w:t>GB/T 750</w:t>
              </w:r>
            </w:hyperlink>
            <w:r w:rsidR="00760279" w:rsidRPr="00627253">
              <w:rPr>
                <w:rFonts w:ascii="仿宋" w:eastAsia="仿宋" w:hAnsi="仿宋" w:cs="华文仿宋" w:hint="eastAsia"/>
                <w:color w:val="000000" w:themeColor="text1"/>
                <w:sz w:val="32"/>
                <w:szCs w:val="32"/>
              </w:rPr>
              <w:t>—1992</w:t>
            </w:r>
          </w:p>
        </w:tc>
      </w:tr>
      <w:tr w:rsidR="00514776" w:rsidRPr="00680D26">
        <w:trPr>
          <w:trHeight w:val="429"/>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8</w:t>
            </w:r>
          </w:p>
        </w:tc>
        <w:tc>
          <w:tcPr>
            <w:tcW w:w="4803" w:type="dxa"/>
            <w:tcBorders>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强度</w:t>
            </w:r>
          </w:p>
        </w:tc>
        <w:tc>
          <w:tcPr>
            <w:tcW w:w="3213" w:type="dxa"/>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GB 175</w:t>
            </w:r>
            <w:r w:rsidRPr="00680D26">
              <w:rPr>
                <w:rFonts w:ascii="仿宋" w:eastAsia="仿宋" w:hAnsi="仿宋" w:cs="华文仿宋" w:hint="eastAsia"/>
                <w:sz w:val="32"/>
                <w:szCs w:val="32"/>
              </w:rPr>
              <w:t>—</w:t>
            </w:r>
            <w:r w:rsidRPr="00680D26">
              <w:rPr>
                <w:rFonts w:ascii="仿宋" w:eastAsia="仿宋" w:hAnsi="仿宋" w:cs="华文仿宋" w:hint="eastAsia"/>
                <w:color w:val="000000"/>
                <w:sz w:val="32"/>
                <w:szCs w:val="32"/>
              </w:rPr>
              <w:t>2023</w:t>
            </w:r>
          </w:p>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GB/T 17671</w:t>
            </w:r>
            <w:r w:rsidRPr="00680D26">
              <w:rPr>
                <w:rFonts w:ascii="仿宋" w:eastAsia="仿宋" w:hAnsi="仿宋" w:cs="华文仿宋" w:hint="eastAsia"/>
                <w:sz w:val="32"/>
                <w:szCs w:val="32"/>
              </w:rPr>
              <w:t>—</w:t>
            </w:r>
            <w:r w:rsidRPr="00680D26">
              <w:rPr>
                <w:rFonts w:ascii="仿宋" w:eastAsia="仿宋" w:hAnsi="仿宋" w:cs="华文仿宋" w:hint="eastAsia"/>
                <w:color w:val="000000"/>
                <w:sz w:val="32"/>
                <w:szCs w:val="32"/>
              </w:rPr>
              <w:t>2021</w:t>
            </w:r>
          </w:p>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color w:val="000000"/>
                <w:sz w:val="32"/>
                <w:szCs w:val="32"/>
              </w:rPr>
              <w:t>GB/T 2419</w:t>
            </w:r>
            <w:r w:rsidRPr="00680D26">
              <w:rPr>
                <w:rFonts w:ascii="仿宋" w:eastAsia="仿宋" w:hAnsi="仿宋" w:cs="华文仿宋" w:hint="eastAsia"/>
                <w:sz w:val="32"/>
                <w:szCs w:val="32"/>
              </w:rPr>
              <w:t>—</w:t>
            </w:r>
            <w:r w:rsidRPr="00680D26">
              <w:rPr>
                <w:rFonts w:ascii="仿宋" w:eastAsia="仿宋" w:hAnsi="仿宋" w:cs="华文仿宋" w:hint="eastAsia"/>
                <w:color w:val="000000"/>
                <w:sz w:val="32"/>
                <w:szCs w:val="32"/>
              </w:rPr>
              <w:t>2005</w:t>
            </w:r>
          </w:p>
        </w:tc>
      </w:tr>
      <w:tr w:rsidR="00514776" w:rsidRPr="00680D26">
        <w:trPr>
          <w:trHeight w:val="567"/>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9</w:t>
            </w:r>
          </w:p>
        </w:tc>
        <w:tc>
          <w:tcPr>
            <w:tcW w:w="4803" w:type="dxa"/>
            <w:tcBorders>
              <w:right w:val="single" w:sz="4" w:space="0" w:color="auto"/>
            </w:tcBorders>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细度</w:t>
            </w:r>
          </w:p>
        </w:tc>
        <w:tc>
          <w:tcPr>
            <w:tcW w:w="3213"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GB 175—2023</w:t>
            </w:r>
          </w:p>
          <w:p w:rsidR="00514776" w:rsidRPr="00680D26" w:rsidRDefault="001A7A34">
            <w:pPr>
              <w:spacing w:line="360" w:lineRule="exact"/>
              <w:jc w:val="center"/>
              <w:rPr>
                <w:rFonts w:ascii="仿宋" w:eastAsia="仿宋" w:hAnsi="仿宋" w:cs="华文仿宋"/>
                <w:color w:val="000000"/>
                <w:sz w:val="32"/>
                <w:szCs w:val="32"/>
              </w:rPr>
            </w:pPr>
            <w:hyperlink r:id="rId12" w:tooltip="点击查看标准详细信息" w:history="1">
              <w:r w:rsidR="00760279" w:rsidRPr="00680D26">
                <w:rPr>
                  <w:rFonts w:ascii="仿宋" w:eastAsia="仿宋" w:hAnsi="仿宋" w:cs="华文仿宋" w:hint="eastAsia"/>
                  <w:sz w:val="32"/>
                  <w:szCs w:val="32"/>
                </w:rPr>
                <w:t>GB/T 8074</w:t>
              </w:r>
            </w:hyperlink>
            <w:r w:rsidR="00760279" w:rsidRPr="00680D26">
              <w:rPr>
                <w:rFonts w:ascii="仿宋" w:eastAsia="仿宋" w:hAnsi="仿宋" w:cs="华文仿宋" w:hint="eastAsia"/>
                <w:sz w:val="32"/>
                <w:szCs w:val="32"/>
              </w:rPr>
              <w:t>—2008</w:t>
            </w:r>
          </w:p>
          <w:p w:rsidR="00514776" w:rsidRPr="00680D26" w:rsidRDefault="001A7A34">
            <w:pPr>
              <w:spacing w:line="360" w:lineRule="exact"/>
              <w:jc w:val="center"/>
              <w:rPr>
                <w:rFonts w:ascii="仿宋" w:eastAsia="仿宋" w:hAnsi="仿宋" w:cs="华文仿宋"/>
                <w:color w:val="000000"/>
                <w:sz w:val="32"/>
                <w:szCs w:val="32"/>
              </w:rPr>
            </w:pPr>
            <w:hyperlink r:id="rId13" w:tooltip="点击查看标准详细信息" w:history="1">
              <w:r w:rsidR="00760279" w:rsidRPr="00680D26">
                <w:rPr>
                  <w:rFonts w:ascii="仿宋" w:eastAsia="仿宋" w:hAnsi="仿宋" w:cs="华文仿宋" w:hint="eastAsia"/>
                  <w:color w:val="000000"/>
                  <w:sz w:val="32"/>
                  <w:szCs w:val="32"/>
                </w:rPr>
                <w:t>GB/T 1345</w:t>
              </w:r>
            </w:hyperlink>
            <w:r w:rsidR="00760279" w:rsidRPr="00680D26">
              <w:rPr>
                <w:rFonts w:ascii="仿宋" w:eastAsia="仿宋" w:hAnsi="仿宋" w:cs="华文仿宋" w:hint="eastAsia"/>
                <w:color w:val="000000"/>
                <w:sz w:val="32"/>
                <w:szCs w:val="32"/>
              </w:rPr>
              <w:t>—2005</w:t>
            </w:r>
          </w:p>
        </w:tc>
      </w:tr>
      <w:tr w:rsidR="00514776" w:rsidRPr="00680D26">
        <w:trPr>
          <w:trHeight w:val="567"/>
        </w:trPr>
        <w:tc>
          <w:tcPr>
            <w:tcW w:w="1158"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10</w:t>
            </w:r>
          </w:p>
        </w:tc>
        <w:tc>
          <w:tcPr>
            <w:tcW w:w="4803" w:type="dxa"/>
            <w:vAlign w:val="center"/>
          </w:tcPr>
          <w:p w:rsidR="00514776" w:rsidRPr="00680D26" w:rsidRDefault="00760279">
            <w:pPr>
              <w:spacing w:line="360" w:lineRule="exact"/>
              <w:jc w:val="center"/>
              <w:rPr>
                <w:rFonts w:ascii="仿宋" w:eastAsia="仿宋" w:hAnsi="仿宋" w:cs="华文仿宋"/>
                <w:color w:val="000000"/>
                <w:sz w:val="32"/>
                <w:szCs w:val="32"/>
              </w:rPr>
            </w:pPr>
            <w:r w:rsidRPr="00680D26">
              <w:rPr>
                <w:rFonts w:ascii="仿宋" w:eastAsia="仿宋" w:hAnsi="仿宋" w:cs="华文仿宋" w:hint="eastAsia"/>
                <w:color w:val="000000"/>
                <w:sz w:val="32"/>
                <w:szCs w:val="32"/>
              </w:rPr>
              <w:t>放射性核素限量</w:t>
            </w:r>
          </w:p>
        </w:tc>
        <w:tc>
          <w:tcPr>
            <w:tcW w:w="3213" w:type="dxa"/>
            <w:vAlign w:val="center"/>
          </w:tcPr>
          <w:p w:rsidR="00514776" w:rsidRPr="00680D26" w:rsidRDefault="001A7A34">
            <w:pPr>
              <w:spacing w:line="360" w:lineRule="exact"/>
              <w:jc w:val="center"/>
              <w:rPr>
                <w:rFonts w:ascii="仿宋" w:eastAsia="仿宋" w:hAnsi="仿宋" w:cs="华文仿宋"/>
                <w:color w:val="000000"/>
                <w:sz w:val="32"/>
                <w:szCs w:val="32"/>
              </w:rPr>
            </w:pPr>
            <w:hyperlink r:id="rId14" w:tooltip="点击查看标准详细信息" w:history="1">
              <w:r w:rsidR="00760279" w:rsidRPr="00680D26">
                <w:rPr>
                  <w:rFonts w:ascii="仿宋" w:eastAsia="仿宋" w:hAnsi="仿宋" w:cs="华文仿宋" w:hint="eastAsia"/>
                  <w:color w:val="000000"/>
                  <w:sz w:val="32"/>
                  <w:szCs w:val="32"/>
                </w:rPr>
                <w:t>GB 6566</w:t>
              </w:r>
            </w:hyperlink>
            <w:r w:rsidR="00760279" w:rsidRPr="00680D26">
              <w:rPr>
                <w:rFonts w:ascii="仿宋" w:eastAsia="仿宋" w:hAnsi="仿宋" w:cs="华文仿宋" w:hint="eastAsia"/>
                <w:color w:val="000000"/>
                <w:sz w:val="32"/>
                <w:szCs w:val="32"/>
              </w:rPr>
              <w:t>—2010</w:t>
            </w:r>
          </w:p>
        </w:tc>
      </w:tr>
    </w:tbl>
    <w:p w:rsidR="00514776" w:rsidRPr="00680D26" w:rsidRDefault="00514776">
      <w:pPr>
        <w:spacing w:line="560" w:lineRule="exact"/>
        <w:jc w:val="center"/>
        <w:rPr>
          <w:rFonts w:ascii="仿宋" w:eastAsia="仿宋" w:hAnsi="仿宋" w:cs="华文仿宋"/>
          <w:b/>
          <w:sz w:val="32"/>
          <w:szCs w:val="32"/>
        </w:rPr>
      </w:pPr>
    </w:p>
    <w:p w:rsidR="00514776" w:rsidRPr="00680D26" w:rsidRDefault="00760279">
      <w:pPr>
        <w:spacing w:line="560" w:lineRule="exact"/>
        <w:jc w:val="center"/>
        <w:rPr>
          <w:rFonts w:ascii="仿宋" w:eastAsia="仿宋" w:hAnsi="仿宋" w:cs="华文仿宋"/>
          <w:b/>
          <w:sz w:val="32"/>
          <w:szCs w:val="32"/>
        </w:rPr>
      </w:pPr>
      <w:r w:rsidRPr="00680D26">
        <w:rPr>
          <w:rFonts w:ascii="仿宋" w:eastAsia="仿宋" w:hAnsi="仿宋" w:cs="华文仿宋" w:hint="eastAsia"/>
          <w:b/>
          <w:sz w:val="32"/>
          <w:szCs w:val="32"/>
        </w:rPr>
        <w:t>表</w:t>
      </w:r>
      <w:r w:rsidR="00EC1CC5" w:rsidRPr="00680D26">
        <w:rPr>
          <w:rFonts w:ascii="仿宋" w:eastAsia="仿宋" w:hAnsi="仿宋" w:cs="华文仿宋" w:hint="eastAsia"/>
          <w:b/>
          <w:sz w:val="32"/>
          <w:szCs w:val="32"/>
        </w:rPr>
        <w:t>2</w:t>
      </w:r>
      <w:r w:rsidRPr="00680D26">
        <w:rPr>
          <w:rFonts w:ascii="仿宋" w:eastAsia="仿宋" w:hAnsi="仿宋" w:cs="华文仿宋" w:hint="eastAsia"/>
          <w:b/>
          <w:sz w:val="32"/>
          <w:szCs w:val="32"/>
        </w:rPr>
        <w:t>硅酸盐水泥熟料</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419"/>
        <w:gridCol w:w="4843"/>
      </w:tblGrid>
      <w:tr w:rsidR="00514776" w:rsidRPr="00680D26">
        <w:trPr>
          <w:jc w:val="center"/>
        </w:trPr>
        <w:tc>
          <w:tcPr>
            <w:tcW w:w="855"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序号</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检验项目</w:t>
            </w:r>
          </w:p>
        </w:tc>
        <w:tc>
          <w:tcPr>
            <w:tcW w:w="4843"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检验方法</w:t>
            </w:r>
          </w:p>
        </w:tc>
      </w:tr>
      <w:tr w:rsidR="00514776" w:rsidRPr="00680D26">
        <w:trPr>
          <w:jc w:val="center"/>
        </w:trPr>
        <w:tc>
          <w:tcPr>
            <w:tcW w:w="855"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1</w:t>
            </w:r>
          </w:p>
        </w:tc>
        <w:tc>
          <w:tcPr>
            <w:tcW w:w="3419"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SO3</w:t>
            </w:r>
          </w:p>
        </w:tc>
        <w:tc>
          <w:tcPr>
            <w:tcW w:w="4843" w:type="dxa"/>
            <w:vMerge w:val="restart"/>
            <w:vAlign w:val="center"/>
          </w:tcPr>
          <w:p w:rsidR="00514776" w:rsidRPr="00680D26" w:rsidRDefault="00760279">
            <w:pPr>
              <w:spacing w:line="360" w:lineRule="exact"/>
              <w:jc w:val="center"/>
              <w:rPr>
                <w:rFonts w:ascii="仿宋" w:eastAsia="仿宋" w:hAnsi="仿宋" w:cs="华文仿宋"/>
                <w:sz w:val="32"/>
                <w:szCs w:val="32"/>
              </w:rPr>
            </w:pPr>
            <w:bookmarkStart w:id="0" w:name="_GoBack"/>
            <w:bookmarkEnd w:id="0"/>
            <w:r w:rsidRPr="00680D26">
              <w:rPr>
                <w:rFonts w:ascii="仿宋" w:eastAsia="仿宋" w:hAnsi="仿宋" w:cs="华文仿宋" w:hint="eastAsia"/>
                <w:sz w:val="32"/>
                <w:szCs w:val="32"/>
              </w:rPr>
              <w:t>GB/T176-2017</w:t>
            </w:r>
          </w:p>
        </w:tc>
      </w:tr>
      <w:tr w:rsidR="00514776" w:rsidRPr="00680D26">
        <w:trPr>
          <w:jc w:val="center"/>
        </w:trPr>
        <w:tc>
          <w:tcPr>
            <w:tcW w:w="855"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2</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MgO</w:t>
            </w:r>
          </w:p>
        </w:tc>
        <w:tc>
          <w:tcPr>
            <w:tcW w:w="4843" w:type="dxa"/>
            <w:vMerge/>
          </w:tcPr>
          <w:p w:rsidR="00514776" w:rsidRPr="00680D26" w:rsidRDefault="00514776">
            <w:pPr>
              <w:spacing w:line="360" w:lineRule="exact"/>
              <w:jc w:val="center"/>
              <w:rPr>
                <w:rFonts w:ascii="仿宋" w:eastAsia="仿宋" w:hAnsi="仿宋" w:cs="华文仿宋"/>
                <w:sz w:val="32"/>
                <w:szCs w:val="32"/>
              </w:rPr>
            </w:pPr>
          </w:p>
        </w:tc>
      </w:tr>
      <w:tr w:rsidR="00514776" w:rsidRPr="00680D26">
        <w:trPr>
          <w:jc w:val="center"/>
        </w:trPr>
        <w:tc>
          <w:tcPr>
            <w:tcW w:w="855"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3</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烧失量</w:t>
            </w:r>
          </w:p>
        </w:tc>
        <w:tc>
          <w:tcPr>
            <w:tcW w:w="4843" w:type="dxa"/>
            <w:vMerge/>
          </w:tcPr>
          <w:p w:rsidR="00514776" w:rsidRPr="00680D26" w:rsidRDefault="00514776">
            <w:pPr>
              <w:spacing w:line="360" w:lineRule="exact"/>
              <w:jc w:val="center"/>
              <w:rPr>
                <w:rFonts w:ascii="仿宋" w:eastAsia="仿宋" w:hAnsi="仿宋" w:cs="华文仿宋"/>
                <w:sz w:val="32"/>
                <w:szCs w:val="32"/>
              </w:rPr>
            </w:pPr>
          </w:p>
        </w:tc>
      </w:tr>
      <w:tr w:rsidR="00514776" w:rsidRPr="00680D26">
        <w:trPr>
          <w:jc w:val="center"/>
        </w:trPr>
        <w:tc>
          <w:tcPr>
            <w:tcW w:w="855"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4</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不溶物</w:t>
            </w:r>
          </w:p>
        </w:tc>
        <w:tc>
          <w:tcPr>
            <w:tcW w:w="4843" w:type="dxa"/>
            <w:vMerge/>
          </w:tcPr>
          <w:p w:rsidR="00514776" w:rsidRPr="00680D26" w:rsidRDefault="00514776">
            <w:pPr>
              <w:spacing w:line="360" w:lineRule="exact"/>
              <w:jc w:val="center"/>
              <w:rPr>
                <w:rFonts w:ascii="仿宋" w:eastAsia="仿宋" w:hAnsi="仿宋" w:cs="华文仿宋"/>
                <w:sz w:val="32"/>
                <w:szCs w:val="32"/>
              </w:rPr>
            </w:pPr>
          </w:p>
        </w:tc>
      </w:tr>
      <w:tr w:rsidR="00514776" w:rsidRPr="00680D26">
        <w:trPr>
          <w:jc w:val="center"/>
        </w:trPr>
        <w:tc>
          <w:tcPr>
            <w:tcW w:w="855" w:type="dxa"/>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5</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凝结时间</w:t>
            </w:r>
          </w:p>
        </w:tc>
        <w:tc>
          <w:tcPr>
            <w:tcW w:w="4843" w:type="dxa"/>
          </w:tcPr>
          <w:p w:rsidR="00514776" w:rsidRPr="00627253" w:rsidRDefault="00760279" w:rsidP="00680D26">
            <w:pPr>
              <w:spacing w:line="360" w:lineRule="exact"/>
              <w:jc w:val="center"/>
              <w:rPr>
                <w:rFonts w:ascii="仿宋" w:eastAsia="仿宋" w:hAnsi="仿宋" w:cs="华文仿宋"/>
                <w:color w:val="000000" w:themeColor="text1"/>
                <w:sz w:val="32"/>
                <w:szCs w:val="32"/>
              </w:rPr>
            </w:pPr>
            <w:r w:rsidRPr="00627253">
              <w:rPr>
                <w:rFonts w:ascii="仿宋" w:eastAsia="仿宋" w:hAnsi="仿宋" w:cs="华文仿宋" w:hint="eastAsia"/>
                <w:color w:val="000000" w:themeColor="text1"/>
                <w:sz w:val="32"/>
                <w:szCs w:val="32"/>
              </w:rPr>
              <w:t>GB/T1346-20</w:t>
            </w:r>
            <w:r w:rsidR="00680D26" w:rsidRPr="00627253">
              <w:rPr>
                <w:rFonts w:ascii="仿宋" w:eastAsia="仿宋" w:hAnsi="仿宋" w:cs="华文仿宋" w:hint="eastAsia"/>
                <w:color w:val="000000" w:themeColor="text1"/>
                <w:sz w:val="32"/>
                <w:szCs w:val="32"/>
              </w:rPr>
              <w:t>24</w:t>
            </w:r>
          </w:p>
        </w:tc>
      </w:tr>
      <w:tr w:rsidR="00514776" w:rsidRPr="00680D26">
        <w:trPr>
          <w:jc w:val="center"/>
        </w:trPr>
        <w:tc>
          <w:tcPr>
            <w:tcW w:w="855"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6</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安定性</w:t>
            </w:r>
          </w:p>
        </w:tc>
        <w:tc>
          <w:tcPr>
            <w:tcW w:w="4843" w:type="dxa"/>
            <w:vAlign w:val="center"/>
          </w:tcPr>
          <w:p w:rsidR="00514776" w:rsidRPr="00627253" w:rsidRDefault="00760279">
            <w:pPr>
              <w:spacing w:line="360" w:lineRule="exact"/>
              <w:jc w:val="center"/>
              <w:rPr>
                <w:rFonts w:ascii="仿宋" w:eastAsia="仿宋" w:hAnsi="仿宋" w:cs="华文仿宋"/>
                <w:color w:val="000000" w:themeColor="text1"/>
                <w:sz w:val="32"/>
                <w:szCs w:val="32"/>
              </w:rPr>
            </w:pPr>
            <w:r w:rsidRPr="00627253">
              <w:rPr>
                <w:rFonts w:ascii="仿宋" w:eastAsia="仿宋" w:hAnsi="仿宋" w:cs="华文仿宋" w:hint="eastAsia"/>
                <w:color w:val="000000" w:themeColor="text1"/>
                <w:sz w:val="32"/>
                <w:szCs w:val="32"/>
              </w:rPr>
              <w:t>GB/T1346-20</w:t>
            </w:r>
            <w:r w:rsidR="00680D26" w:rsidRPr="00627253">
              <w:rPr>
                <w:rFonts w:ascii="仿宋" w:eastAsia="仿宋" w:hAnsi="仿宋" w:cs="华文仿宋" w:hint="eastAsia"/>
                <w:color w:val="000000" w:themeColor="text1"/>
                <w:sz w:val="32"/>
                <w:szCs w:val="32"/>
              </w:rPr>
              <w:t>24</w:t>
            </w:r>
          </w:p>
          <w:p w:rsidR="00514776" w:rsidRPr="00627253" w:rsidRDefault="00760279">
            <w:pPr>
              <w:spacing w:line="360" w:lineRule="exact"/>
              <w:jc w:val="center"/>
              <w:rPr>
                <w:rFonts w:ascii="仿宋" w:eastAsia="仿宋" w:hAnsi="仿宋" w:cs="华文仿宋"/>
                <w:color w:val="000000" w:themeColor="text1"/>
                <w:sz w:val="32"/>
                <w:szCs w:val="32"/>
              </w:rPr>
            </w:pPr>
            <w:r w:rsidRPr="00627253">
              <w:rPr>
                <w:rFonts w:ascii="仿宋" w:eastAsia="仿宋" w:hAnsi="仿宋" w:cs="华文仿宋" w:hint="eastAsia"/>
                <w:color w:val="000000" w:themeColor="text1"/>
                <w:sz w:val="32"/>
                <w:szCs w:val="32"/>
              </w:rPr>
              <w:t>GB/T750-1992</w:t>
            </w:r>
          </w:p>
        </w:tc>
      </w:tr>
      <w:tr w:rsidR="00514776" w:rsidRPr="00680D26">
        <w:trPr>
          <w:jc w:val="center"/>
        </w:trPr>
        <w:tc>
          <w:tcPr>
            <w:tcW w:w="855"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7</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抗压强度</w:t>
            </w:r>
          </w:p>
        </w:tc>
        <w:tc>
          <w:tcPr>
            <w:tcW w:w="4843"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GB/T17671-2021</w:t>
            </w:r>
          </w:p>
        </w:tc>
      </w:tr>
      <w:tr w:rsidR="00514776" w:rsidRPr="00680D26">
        <w:trPr>
          <w:jc w:val="center"/>
        </w:trPr>
        <w:tc>
          <w:tcPr>
            <w:tcW w:w="855"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8</w:t>
            </w:r>
          </w:p>
        </w:tc>
        <w:tc>
          <w:tcPr>
            <w:tcW w:w="3419" w:type="dxa"/>
            <w:vAlign w:val="center"/>
          </w:tcPr>
          <w:p w:rsidR="00514776" w:rsidRPr="00680D26" w:rsidRDefault="00760279">
            <w:pPr>
              <w:spacing w:line="360" w:lineRule="exact"/>
              <w:jc w:val="center"/>
              <w:rPr>
                <w:rFonts w:ascii="仿宋" w:eastAsia="仿宋" w:hAnsi="仿宋" w:cs="华文仿宋"/>
                <w:sz w:val="32"/>
                <w:szCs w:val="32"/>
              </w:rPr>
            </w:pPr>
            <w:r w:rsidRPr="00680D26">
              <w:rPr>
                <w:rFonts w:ascii="仿宋" w:eastAsia="仿宋" w:hAnsi="仿宋" w:cs="华文仿宋" w:hint="eastAsia"/>
                <w:sz w:val="32"/>
                <w:szCs w:val="32"/>
              </w:rPr>
              <w:t>放射性</w:t>
            </w:r>
          </w:p>
        </w:tc>
        <w:tc>
          <w:tcPr>
            <w:tcW w:w="4843" w:type="dxa"/>
            <w:vAlign w:val="center"/>
          </w:tcPr>
          <w:p w:rsidR="00514776" w:rsidRPr="00680D26" w:rsidRDefault="001A7A34">
            <w:pPr>
              <w:spacing w:line="360" w:lineRule="exact"/>
              <w:jc w:val="center"/>
              <w:rPr>
                <w:rFonts w:ascii="仿宋" w:eastAsia="仿宋" w:hAnsi="仿宋" w:cs="华文仿宋"/>
                <w:sz w:val="32"/>
                <w:szCs w:val="32"/>
              </w:rPr>
            </w:pPr>
            <w:hyperlink r:id="rId15" w:tooltip="点击查看标准详细信息" w:history="1">
              <w:r w:rsidR="00760279" w:rsidRPr="00680D26">
                <w:rPr>
                  <w:rFonts w:ascii="仿宋" w:eastAsia="仿宋" w:hAnsi="仿宋" w:cs="华文仿宋" w:hint="eastAsia"/>
                  <w:sz w:val="32"/>
                  <w:szCs w:val="32"/>
                </w:rPr>
                <w:t>GB 6566—2010</w:t>
              </w:r>
            </w:hyperlink>
          </w:p>
        </w:tc>
      </w:tr>
    </w:tbl>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执行企业标准、团体标准、地方标准的产品，检验项目参照上述内容执行。</w:t>
      </w:r>
    </w:p>
    <w:p w:rsidR="00514776" w:rsidRPr="00680D26" w:rsidRDefault="00760279">
      <w:pPr>
        <w:adjustRightInd w:val="0"/>
        <w:snapToGrid w:val="0"/>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color w:val="000000"/>
          <w:sz w:val="32"/>
          <w:szCs w:val="32"/>
        </w:rPr>
        <w:t>凡是注日期的文件，其随后所有的修改单（不包括勘误的内容）或修订版不适用于本细则。凡是不注日期的文件，其最新版本适用于本细则。</w:t>
      </w:r>
    </w:p>
    <w:p w:rsidR="00514776" w:rsidRPr="00680D26" w:rsidRDefault="00760279" w:rsidP="00680D26">
      <w:pPr>
        <w:spacing w:line="560" w:lineRule="exact"/>
        <w:ind w:firstLineChars="200" w:firstLine="643"/>
        <w:rPr>
          <w:rFonts w:ascii="仿宋" w:eastAsia="仿宋" w:hAnsi="仿宋" w:cs="华文仿宋"/>
          <w:b/>
          <w:bCs/>
          <w:color w:val="000000"/>
          <w:sz w:val="32"/>
          <w:szCs w:val="32"/>
        </w:rPr>
      </w:pPr>
      <w:r w:rsidRPr="00680D26">
        <w:rPr>
          <w:rFonts w:ascii="仿宋" w:eastAsia="仿宋" w:hAnsi="仿宋" w:cs="华文仿宋" w:hint="eastAsia"/>
          <w:b/>
          <w:bCs/>
          <w:color w:val="000000"/>
          <w:sz w:val="32"/>
          <w:szCs w:val="32"/>
        </w:rPr>
        <w:t>3 判定规则</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lastRenderedPageBreak/>
        <w:t>3.1依据标准</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GB 175—2023     通用硅酸盐水泥</w:t>
      </w:r>
    </w:p>
    <w:p w:rsidR="00514776" w:rsidRPr="00680D26" w:rsidRDefault="00760279">
      <w:pPr>
        <w:spacing w:line="560" w:lineRule="exact"/>
        <w:ind w:firstLineChars="200" w:firstLine="640"/>
        <w:rPr>
          <w:rFonts w:ascii="仿宋" w:eastAsia="仿宋" w:hAnsi="仿宋" w:cs="华文仿宋"/>
          <w:color w:val="000000"/>
          <w:sz w:val="32"/>
          <w:szCs w:val="32"/>
        </w:rPr>
      </w:pPr>
      <w:r w:rsidRPr="00680D26">
        <w:rPr>
          <w:rFonts w:ascii="仿宋" w:eastAsia="仿宋" w:hAnsi="仿宋" w:cs="华文仿宋" w:hint="eastAsia"/>
          <w:color w:val="000000"/>
          <w:sz w:val="32"/>
          <w:szCs w:val="32"/>
        </w:rPr>
        <w:t>GB/T21372-2008   硅酸盐水泥熟料</w:t>
      </w:r>
    </w:p>
    <w:p w:rsidR="00514776" w:rsidRPr="00680D26" w:rsidRDefault="001A7A34" w:rsidP="00680D26">
      <w:pPr>
        <w:spacing w:line="560" w:lineRule="exact"/>
        <w:ind w:firstLineChars="300" w:firstLine="630"/>
        <w:rPr>
          <w:rFonts w:ascii="仿宋" w:eastAsia="仿宋" w:hAnsi="仿宋" w:cs="华文仿宋"/>
          <w:color w:val="000000"/>
          <w:sz w:val="32"/>
          <w:szCs w:val="32"/>
        </w:rPr>
      </w:pPr>
      <w:hyperlink r:id="rId16" w:tooltip="点击查看标准详细信息" w:history="1">
        <w:r w:rsidR="00760279" w:rsidRPr="00680D26">
          <w:rPr>
            <w:rFonts w:ascii="仿宋" w:eastAsia="仿宋" w:hAnsi="仿宋" w:cs="华文仿宋" w:hint="eastAsia"/>
            <w:color w:val="000000"/>
            <w:sz w:val="32"/>
            <w:szCs w:val="32"/>
          </w:rPr>
          <w:t>GB 6566—2010</w:t>
        </w:r>
      </w:hyperlink>
      <w:r w:rsidR="00760279" w:rsidRPr="00680D26">
        <w:rPr>
          <w:rFonts w:ascii="仿宋" w:eastAsia="仿宋" w:hAnsi="仿宋" w:cs="华文仿宋" w:hint="eastAsia"/>
          <w:color w:val="000000"/>
          <w:sz w:val="32"/>
          <w:szCs w:val="32"/>
        </w:rPr>
        <w:t xml:space="preserve">    建筑材料放射性核素限量</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现行有效的企业标准、团体标准、地方标准及产品明示质量要求</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3.2判定原则</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经检验，检验项目全部合格，判定为被抽查产品所检项目未发现不合格；检验项目中任一项或一项以上不合格，判定为被抽查产品不合格。</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若被检产品明示的质量要求高于本细则中检验项目依据的标准要求时，应按被检产品明示的质量要求判定。</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若被检产品明示的质量要求低于本细则中检验项目依据的强制性标准要求时，应按照强制性标准要求判定。</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若被检产品明示的质量要求低于或包含本细则中检验项目依据的推荐性标准要求时，应以被检产品明示的质量要求判定。</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若被检产品明示的质量要求缺少本细则中检验项目依据的强制性标准要求时，应按照强制性标准要求判定。</w:t>
      </w:r>
    </w:p>
    <w:p w:rsidR="00514776" w:rsidRPr="00680D26" w:rsidRDefault="00760279">
      <w:pPr>
        <w:spacing w:line="560" w:lineRule="exact"/>
        <w:ind w:firstLineChars="200" w:firstLine="640"/>
        <w:rPr>
          <w:rFonts w:ascii="仿宋" w:eastAsia="仿宋" w:hAnsi="仿宋" w:cs="华文仿宋"/>
          <w:sz w:val="32"/>
          <w:szCs w:val="32"/>
        </w:rPr>
      </w:pPr>
      <w:r w:rsidRPr="00680D26">
        <w:rPr>
          <w:rFonts w:ascii="仿宋" w:eastAsia="仿宋" w:hAnsi="仿宋" w:cs="华文仿宋" w:hint="eastAsia"/>
          <w:sz w:val="32"/>
          <w:szCs w:val="32"/>
        </w:rPr>
        <w:t>若被检产品明示的质量要求缺少本细则中检验项目依据的推荐性标准要求时，该项目不参与判定。</w:t>
      </w:r>
    </w:p>
    <w:p w:rsidR="00514776" w:rsidRDefault="00514776">
      <w:pPr>
        <w:spacing w:line="560" w:lineRule="exact"/>
        <w:ind w:firstLineChars="200" w:firstLine="640"/>
        <w:rPr>
          <w:rFonts w:ascii="华文仿宋" w:eastAsia="华文仿宋" w:hAnsi="华文仿宋" w:cs="华文仿宋"/>
          <w:sz w:val="32"/>
          <w:szCs w:val="32"/>
        </w:rPr>
      </w:pPr>
    </w:p>
    <w:sectPr w:rsidR="00514776" w:rsidSect="00E370AF">
      <w:headerReference w:type="default" r:id="rId17"/>
      <w:footerReference w:type="even" r:id="rId18"/>
      <w:footerReference w:type="default" r:id="rId19"/>
      <w:pgSz w:w="11906" w:h="16838"/>
      <w:pgMar w:top="2098" w:right="1474" w:bottom="1814" w:left="1587"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34" w:rsidRDefault="001A7A34">
      <w:r>
        <w:separator/>
      </w:r>
    </w:p>
  </w:endnote>
  <w:endnote w:type="continuationSeparator" w:id="0">
    <w:p w:rsidR="001A7A34" w:rsidRDefault="001A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776" w:rsidRDefault="00E370AF">
    <w:pPr>
      <w:pStyle w:val="a4"/>
      <w:framePr w:wrap="around" w:vAnchor="text" w:hAnchor="margin" w:xAlign="center" w:y="1"/>
      <w:rPr>
        <w:rStyle w:val="a6"/>
      </w:rPr>
    </w:pPr>
    <w:r>
      <w:fldChar w:fldCharType="begin"/>
    </w:r>
    <w:r w:rsidR="00760279">
      <w:rPr>
        <w:rStyle w:val="a6"/>
      </w:rPr>
      <w:instrText xml:space="preserve">PAGE  </w:instrText>
    </w:r>
    <w:r>
      <w:fldChar w:fldCharType="separate"/>
    </w:r>
    <w:r w:rsidR="00760279">
      <w:rPr>
        <w:rStyle w:val="a6"/>
      </w:rPr>
      <w:t>2</w:t>
    </w:r>
    <w:r>
      <w:fldChar w:fldCharType="end"/>
    </w:r>
  </w:p>
  <w:p w:rsidR="00514776" w:rsidRDefault="005147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776" w:rsidRDefault="00E370AF">
    <w:pPr>
      <w:pStyle w:val="a4"/>
      <w:jc w:val="center"/>
    </w:pPr>
    <w:r>
      <w:rPr>
        <w:lang w:val="zh-CN"/>
      </w:rPr>
      <w:fldChar w:fldCharType="begin"/>
    </w:r>
    <w:r w:rsidR="00760279">
      <w:rPr>
        <w:lang w:val="zh-CN"/>
      </w:rPr>
      <w:instrText xml:space="preserve"> PAGE   \* MERGEFORMAT </w:instrText>
    </w:r>
    <w:r>
      <w:rPr>
        <w:lang w:val="zh-CN"/>
      </w:rPr>
      <w:fldChar w:fldCharType="separate"/>
    </w:r>
    <w:r w:rsidR="00627253" w:rsidRPr="00627253">
      <w:rPr>
        <w:noProof/>
      </w:rPr>
      <w:t>3</w:t>
    </w:r>
    <w:r>
      <w:rPr>
        <w:lang w:val="zh-CN"/>
      </w:rPr>
      <w:fldChar w:fldCharType="end"/>
    </w:r>
  </w:p>
  <w:p w:rsidR="00514776" w:rsidRDefault="005147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34" w:rsidRDefault="001A7A34">
      <w:r>
        <w:separator/>
      </w:r>
    </w:p>
  </w:footnote>
  <w:footnote w:type="continuationSeparator" w:id="0">
    <w:p w:rsidR="001A7A34" w:rsidRDefault="001A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776" w:rsidRDefault="0051477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3YmE2Y2NhYmYwMTlhY2QxOWFiNTQ4MGFlOGE0ZGIifQ=="/>
  </w:docVars>
  <w:rsids>
    <w:rsidRoot w:val="00172A27"/>
    <w:rsid w:val="A7C9AD56"/>
    <w:rsid w:val="00007355"/>
    <w:rsid w:val="00024AC7"/>
    <w:rsid w:val="0002618C"/>
    <w:rsid w:val="00027BB5"/>
    <w:rsid w:val="00036E5E"/>
    <w:rsid w:val="00043590"/>
    <w:rsid w:val="00043CC4"/>
    <w:rsid w:val="00047DA4"/>
    <w:rsid w:val="00051A44"/>
    <w:rsid w:val="00060244"/>
    <w:rsid w:val="00062924"/>
    <w:rsid w:val="0007125F"/>
    <w:rsid w:val="0007314B"/>
    <w:rsid w:val="00081CBD"/>
    <w:rsid w:val="000976DE"/>
    <w:rsid w:val="000B0EA0"/>
    <w:rsid w:val="000E7A69"/>
    <w:rsid w:val="001241C3"/>
    <w:rsid w:val="00143881"/>
    <w:rsid w:val="001461EF"/>
    <w:rsid w:val="001548B7"/>
    <w:rsid w:val="00156B10"/>
    <w:rsid w:val="00160307"/>
    <w:rsid w:val="00160870"/>
    <w:rsid w:val="00161959"/>
    <w:rsid w:val="001717D5"/>
    <w:rsid w:val="00172A27"/>
    <w:rsid w:val="00176761"/>
    <w:rsid w:val="001809DD"/>
    <w:rsid w:val="0018701C"/>
    <w:rsid w:val="001968A0"/>
    <w:rsid w:val="001A48AE"/>
    <w:rsid w:val="001A7A34"/>
    <w:rsid w:val="001B0A29"/>
    <w:rsid w:val="001B57F4"/>
    <w:rsid w:val="001C0C33"/>
    <w:rsid w:val="001D7C1F"/>
    <w:rsid w:val="00201A55"/>
    <w:rsid w:val="002043CF"/>
    <w:rsid w:val="00207A0B"/>
    <w:rsid w:val="00213CD1"/>
    <w:rsid w:val="00222209"/>
    <w:rsid w:val="00253624"/>
    <w:rsid w:val="00260258"/>
    <w:rsid w:val="002770B3"/>
    <w:rsid w:val="00280D1F"/>
    <w:rsid w:val="00281D90"/>
    <w:rsid w:val="002A4A3D"/>
    <w:rsid w:val="002C013F"/>
    <w:rsid w:val="002D02E0"/>
    <w:rsid w:val="002D0815"/>
    <w:rsid w:val="002D7F8A"/>
    <w:rsid w:val="002E0D1D"/>
    <w:rsid w:val="003203A3"/>
    <w:rsid w:val="003254C6"/>
    <w:rsid w:val="0032793D"/>
    <w:rsid w:val="003317DC"/>
    <w:rsid w:val="003477F5"/>
    <w:rsid w:val="00353088"/>
    <w:rsid w:val="003606FC"/>
    <w:rsid w:val="003653FF"/>
    <w:rsid w:val="00367861"/>
    <w:rsid w:val="003826C7"/>
    <w:rsid w:val="00391996"/>
    <w:rsid w:val="003927D5"/>
    <w:rsid w:val="003A2E5C"/>
    <w:rsid w:val="003C388C"/>
    <w:rsid w:val="003C6502"/>
    <w:rsid w:val="003E2C22"/>
    <w:rsid w:val="003E61BF"/>
    <w:rsid w:val="003F0F8E"/>
    <w:rsid w:val="0043493A"/>
    <w:rsid w:val="00445E86"/>
    <w:rsid w:val="004464FA"/>
    <w:rsid w:val="00446585"/>
    <w:rsid w:val="004736F2"/>
    <w:rsid w:val="00474E04"/>
    <w:rsid w:val="00476C8B"/>
    <w:rsid w:val="004D0C5A"/>
    <w:rsid w:val="004E1396"/>
    <w:rsid w:val="004F22A6"/>
    <w:rsid w:val="004F41A7"/>
    <w:rsid w:val="004F4936"/>
    <w:rsid w:val="00500237"/>
    <w:rsid w:val="005035E6"/>
    <w:rsid w:val="0050377F"/>
    <w:rsid w:val="0051380B"/>
    <w:rsid w:val="00514776"/>
    <w:rsid w:val="005314D0"/>
    <w:rsid w:val="005339E0"/>
    <w:rsid w:val="00536317"/>
    <w:rsid w:val="005447D1"/>
    <w:rsid w:val="00554E8F"/>
    <w:rsid w:val="00556ABE"/>
    <w:rsid w:val="00563EBC"/>
    <w:rsid w:val="00564BD6"/>
    <w:rsid w:val="00571002"/>
    <w:rsid w:val="00583FA4"/>
    <w:rsid w:val="005B7378"/>
    <w:rsid w:val="005E4961"/>
    <w:rsid w:val="005F3ED8"/>
    <w:rsid w:val="0060297C"/>
    <w:rsid w:val="00617A37"/>
    <w:rsid w:val="00627253"/>
    <w:rsid w:val="0063438A"/>
    <w:rsid w:val="00635278"/>
    <w:rsid w:val="006570B2"/>
    <w:rsid w:val="006776AC"/>
    <w:rsid w:val="00680D26"/>
    <w:rsid w:val="006A1139"/>
    <w:rsid w:val="006B4364"/>
    <w:rsid w:val="006B62EE"/>
    <w:rsid w:val="006D1CE6"/>
    <w:rsid w:val="006D36D1"/>
    <w:rsid w:val="006D5AD8"/>
    <w:rsid w:val="006D7F1E"/>
    <w:rsid w:val="006E1BCC"/>
    <w:rsid w:val="006E77E8"/>
    <w:rsid w:val="006F0971"/>
    <w:rsid w:val="00700570"/>
    <w:rsid w:val="007032E2"/>
    <w:rsid w:val="00712D1B"/>
    <w:rsid w:val="007156BE"/>
    <w:rsid w:val="0072334C"/>
    <w:rsid w:val="00727A5E"/>
    <w:rsid w:val="0073262F"/>
    <w:rsid w:val="007373EA"/>
    <w:rsid w:val="00743886"/>
    <w:rsid w:val="00745D5E"/>
    <w:rsid w:val="00760279"/>
    <w:rsid w:val="00773650"/>
    <w:rsid w:val="00785527"/>
    <w:rsid w:val="007868D1"/>
    <w:rsid w:val="00790B7F"/>
    <w:rsid w:val="0079616F"/>
    <w:rsid w:val="007E018F"/>
    <w:rsid w:val="007F74EE"/>
    <w:rsid w:val="00800C49"/>
    <w:rsid w:val="00802126"/>
    <w:rsid w:val="008063AB"/>
    <w:rsid w:val="008219DF"/>
    <w:rsid w:val="008313C7"/>
    <w:rsid w:val="00846C47"/>
    <w:rsid w:val="00864B7E"/>
    <w:rsid w:val="008709E7"/>
    <w:rsid w:val="00873210"/>
    <w:rsid w:val="00875A17"/>
    <w:rsid w:val="00890183"/>
    <w:rsid w:val="00894B0F"/>
    <w:rsid w:val="00895BEA"/>
    <w:rsid w:val="00897D37"/>
    <w:rsid w:val="008A2FF1"/>
    <w:rsid w:val="008A3497"/>
    <w:rsid w:val="008A43B9"/>
    <w:rsid w:val="008B0E9B"/>
    <w:rsid w:val="008B2297"/>
    <w:rsid w:val="008C279F"/>
    <w:rsid w:val="008C68A3"/>
    <w:rsid w:val="008E2B7F"/>
    <w:rsid w:val="008E733D"/>
    <w:rsid w:val="00912E9F"/>
    <w:rsid w:val="009176FD"/>
    <w:rsid w:val="00917A54"/>
    <w:rsid w:val="00925676"/>
    <w:rsid w:val="00927AC5"/>
    <w:rsid w:val="00941D05"/>
    <w:rsid w:val="0095354B"/>
    <w:rsid w:val="00964AB6"/>
    <w:rsid w:val="0099165E"/>
    <w:rsid w:val="009A48D5"/>
    <w:rsid w:val="009A7B2E"/>
    <w:rsid w:val="009B7560"/>
    <w:rsid w:val="009C3CCD"/>
    <w:rsid w:val="009D67A5"/>
    <w:rsid w:val="009F29B9"/>
    <w:rsid w:val="009F4C59"/>
    <w:rsid w:val="00A078EB"/>
    <w:rsid w:val="00A22EAC"/>
    <w:rsid w:val="00A3702D"/>
    <w:rsid w:val="00A43553"/>
    <w:rsid w:val="00A44904"/>
    <w:rsid w:val="00A5256E"/>
    <w:rsid w:val="00A53A34"/>
    <w:rsid w:val="00A663C4"/>
    <w:rsid w:val="00A96CE0"/>
    <w:rsid w:val="00AA19A5"/>
    <w:rsid w:val="00AA67C9"/>
    <w:rsid w:val="00AC5B52"/>
    <w:rsid w:val="00AD08D7"/>
    <w:rsid w:val="00AD0FA2"/>
    <w:rsid w:val="00AD3616"/>
    <w:rsid w:val="00AE48F9"/>
    <w:rsid w:val="00AE4B8F"/>
    <w:rsid w:val="00B004F8"/>
    <w:rsid w:val="00B063FA"/>
    <w:rsid w:val="00B108AE"/>
    <w:rsid w:val="00B14F5C"/>
    <w:rsid w:val="00B2066C"/>
    <w:rsid w:val="00B223AC"/>
    <w:rsid w:val="00B271D9"/>
    <w:rsid w:val="00B36C40"/>
    <w:rsid w:val="00B414E9"/>
    <w:rsid w:val="00B647F6"/>
    <w:rsid w:val="00B872FE"/>
    <w:rsid w:val="00B9285F"/>
    <w:rsid w:val="00B946DD"/>
    <w:rsid w:val="00B97256"/>
    <w:rsid w:val="00BA6395"/>
    <w:rsid w:val="00BB0B52"/>
    <w:rsid w:val="00BB32A2"/>
    <w:rsid w:val="00BC3C6A"/>
    <w:rsid w:val="00BC487B"/>
    <w:rsid w:val="00BE0DD1"/>
    <w:rsid w:val="00BE70D2"/>
    <w:rsid w:val="00BF74DD"/>
    <w:rsid w:val="00C0703A"/>
    <w:rsid w:val="00C223A8"/>
    <w:rsid w:val="00C2485F"/>
    <w:rsid w:val="00C26074"/>
    <w:rsid w:val="00C34B3F"/>
    <w:rsid w:val="00C43177"/>
    <w:rsid w:val="00C5162B"/>
    <w:rsid w:val="00C65F39"/>
    <w:rsid w:val="00C6715B"/>
    <w:rsid w:val="00C83B0A"/>
    <w:rsid w:val="00C87479"/>
    <w:rsid w:val="00C931A2"/>
    <w:rsid w:val="00C93B72"/>
    <w:rsid w:val="00C96105"/>
    <w:rsid w:val="00CA31E0"/>
    <w:rsid w:val="00CA41D3"/>
    <w:rsid w:val="00CB05DF"/>
    <w:rsid w:val="00CB5D14"/>
    <w:rsid w:val="00CC61B3"/>
    <w:rsid w:val="00CD2FB2"/>
    <w:rsid w:val="00CE1E0C"/>
    <w:rsid w:val="00CE277E"/>
    <w:rsid w:val="00CE51C0"/>
    <w:rsid w:val="00D05D02"/>
    <w:rsid w:val="00D4624D"/>
    <w:rsid w:val="00D474C7"/>
    <w:rsid w:val="00D56867"/>
    <w:rsid w:val="00D64CA9"/>
    <w:rsid w:val="00D74F87"/>
    <w:rsid w:val="00D76B97"/>
    <w:rsid w:val="00D93731"/>
    <w:rsid w:val="00D945D5"/>
    <w:rsid w:val="00D959BD"/>
    <w:rsid w:val="00DC6F30"/>
    <w:rsid w:val="00DD5D13"/>
    <w:rsid w:val="00DE0059"/>
    <w:rsid w:val="00DF1A5D"/>
    <w:rsid w:val="00E00ACE"/>
    <w:rsid w:val="00E0180F"/>
    <w:rsid w:val="00E02A7F"/>
    <w:rsid w:val="00E0676F"/>
    <w:rsid w:val="00E07880"/>
    <w:rsid w:val="00E16324"/>
    <w:rsid w:val="00E219ED"/>
    <w:rsid w:val="00E24D9B"/>
    <w:rsid w:val="00E33337"/>
    <w:rsid w:val="00E370AF"/>
    <w:rsid w:val="00E45DFA"/>
    <w:rsid w:val="00E6173A"/>
    <w:rsid w:val="00E649E7"/>
    <w:rsid w:val="00E82621"/>
    <w:rsid w:val="00E874ED"/>
    <w:rsid w:val="00E91D9A"/>
    <w:rsid w:val="00E96E4F"/>
    <w:rsid w:val="00EB3AE0"/>
    <w:rsid w:val="00EC120C"/>
    <w:rsid w:val="00EC1CC5"/>
    <w:rsid w:val="00ED556C"/>
    <w:rsid w:val="00ED68E3"/>
    <w:rsid w:val="00EE3444"/>
    <w:rsid w:val="00EF010C"/>
    <w:rsid w:val="00EF029F"/>
    <w:rsid w:val="00EF3E9A"/>
    <w:rsid w:val="00F00513"/>
    <w:rsid w:val="00F02A05"/>
    <w:rsid w:val="00F03058"/>
    <w:rsid w:val="00F03787"/>
    <w:rsid w:val="00F07C20"/>
    <w:rsid w:val="00F30499"/>
    <w:rsid w:val="00F673F7"/>
    <w:rsid w:val="00F76AB1"/>
    <w:rsid w:val="00F77C9A"/>
    <w:rsid w:val="00F85191"/>
    <w:rsid w:val="00F97CFD"/>
    <w:rsid w:val="00FA5D59"/>
    <w:rsid w:val="00FA61DA"/>
    <w:rsid w:val="00FA679E"/>
    <w:rsid w:val="00FB576C"/>
    <w:rsid w:val="00FB6DEC"/>
    <w:rsid w:val="00FD2AA6"/>
    <w:rsid w:val="00FE0C91"/>
    <w:rsid w:val="00FE7E8A"/>
    <w:rsid w:val="00FF3403"/>
    <w:rsid w:val="00FF7E40"/>
    <w:rsid w:val="02534BF2"/>
    <w:rsid w:val="02E37041"/>
    <w:rsid w:val="14677C27"/>
    <w:rsid w:val="1576596C"/>
    <w:rsid w:val="180F0D87"/>
    <w:rsid w:val="18BA44B9"/>
    <w:rsid w:val="1C017866"/>
    <w:rsid w:val="1C1B2BFF"/>
    <w:rsid w:val="1D532BBD"/>
    <w:rsid w:val="245112B3"/>
    <w:rsid w:val="25E94A57"/>
    <w:rsid w:val="26BF01E4"/>
    <w:rsid w:val="26D83359"/>
    <w:rsid w:val="2B0C5FE2"/>
    <w:rsid w:val="31544200"/>
    <w:rsid w:val="33D4269D"/>
    <w:rsid w:val="34642C63"/>
    <w:rsid w:val="366C1D5F"/>
    <w:rsid w:val="3942106D"/>
    <w:rsid w:val="3B395A59"/>
    <w:rsid w:val="407418C7"/>
    <w:rsid w:val="46F30DEA"/>
    <w:rsid w:val="49173AA7"/>
    <w:rsid w:val="570333F2"/>
    <w:rsid w:val="61E33ADD"/>
    <w:rsid w:val="66490F08"/>
    <w:rsid w:val="67564D51"/>
    <w:rsid w:val="6B9C14C0"/>
    <w:rsid w:val="6F5F3901"/>
    <w:rsid w:val="705D5377"/>
    <w:rsid w:val="73D87F14"/>
    <w:rsid w:val="796E1A86"/>
    <w:rsid w:val="7CDA1C97"/>
    <w:rsid w:val="7D66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370AF"/>
    <w:rPr>
      <w:sz w:val="18"/>
      <w:szCs w:val="18"/>
    </w:rPr>
  </w:style>
  <w:style w:type="paragraph" w:styleId="a4">
    <w:name w:val="footer"/>
    <w:basedOn w:val="a"/>
    <w:link w:val="Char0"/>
    <w:uiPriority w:val="99"/>
    <w:unhideWhenUsed/>
    <w:qFormat/>
    <w:rsid w:val="00E370A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370A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370AF"/>
  </w:style>
  <w:style w:type="character" w:customStyle="1" w:styleId="Char">
    <w:name w:val="批注框文本 Char"/>
    <w:link w:val="a3"/>
    <w:uiPriority w:val="99"/>
    <w:semiHidden/>
    <w:qFormat/>
    <w:rsid w:val="00E370AF"/>
    <w:rPr>
      <w:kern w:val="2"/>
      <w:sz w:val="18"/>
      <w:szCs w:val="18"/>
    </w:rPr>
  </w:style>
  <w:style w:type="character" w:customStyle="1" w:styleId="Char0">
    <w:name w:val="页脚 Char"/>
    <w:link w:val="a4"/>
    <w:uiPriority w:val="99"/>
    <w:qFormat/>
    <w:rsid w:val="00E370AF"/>
    <w:rPr>
      <w:kern w:val="2"/>
      <w:sz w:val="18"/>
      <w:szCs w:val="18"/>
    </w:rPr>
  </w:style>
  <w:style w:type="character" w:customStyle="1" w:styleId="Char1">
    <w:name w:val="页眉 Char"/>
    <w:link w:val="a5"/>
    <w:uiPriority w:val="99"/>
    <w:semiHidden/>
    <w:qFormat/>
    <w:rsid w:val="00E370AF"/>
    <w:rPr>
      <w:kern w:val="2"/>
      <w:sz w:val="18"/>
      <w:szCs w:val="18"/>
    </w:rPr>
  </w:style>
  <w:style w:type="paragraph" w:customStyle="1" w:styleId="1">
    <w:name w:val="修订1"/>
    <w:uiPriority w:val="99"/>
    <w:unhideWhenUsed/>
    <w:qFormat/>
    <w:rsid w:val="00E370AF"/>
    <w:rPr>
      <w:kern w:val="2"/>
      <w:sz w:val="21"/>
      <w:szCs w:val="24"/>
    </w:rPr>
  </w:style>
  <w:style w:type="paragraph" w:customStyle="1" w:styleId="10">
    <w:name w:val="列出段落1"/>
    <w:basedOn w:val="a"/>
    <w:uiPriority w:val="34"/>
    <w:qFormat/>
    <w:rsid w:val="00E370A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__doPostBack('ctl00$ctl00$ContentPlaceHolder1$ContentPlaceHolder1$rptStandard$ctl00$lbtnDetail','')" TargetMode="External"/><Relationship Id="rId13" Type="http://schemas.openxmlformats.org/officeDocument/2006/relationships/hyperlink" Target="javascript:__doPostBack('ctl00$ctl00$ContentPlaceHolder1$ContentPlaceHolder1$rptStandard$ctl00$lbtnDetai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__doPostBack('ctl00$ctl00$ContentPlaceHolder1$ContentPlaceHolder1$rptStandard$ctl00$lbtnDetai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__doPostBack('ctl00$ctl00$ContentPlaceHolder1$ContentPlaceHolder1$rptStandard$ctl00$lbtnDeta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tl00$ctl00$ContentPlaceHolder1$ContentPlaceHolder1$rptStandard$ctl00$lbtnDetail','')" TargetMode="External"/><Relationship Id="rId5" Type="http://schemas.openxmlformats.org/officeDocument/2006/relationships/webSettings" Target="webSettings.xml"/><Relationship Id="rId15" Type="http://schemas.openxmlformats.org/officeDocument/2006/relationships/hyperlink" Target="javascript:__doPostBack('ctl00$ctl00$ContentPlaceHolder1$ContentPlaceHolder1$rptStandard$ctl00$lbtnDetail','')" TargetMode="External"/><Relationship Id="rId10" Type="http://schemas.openxmlformats.org/officeDocument/2006/relationships/hyperlink" Target="javascript:__doPostBack('ctl00$ctl00$ContentPlaceHolder1$ContentPlaceHolder1$rptStandard$ctl00$lbtnDetai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__doPostBack('ctl00$ctl00$ContentPlaceHolder1$ContentPlaceHolder1$rptStandard$ctl00$lbtnDetail','')" TargetMode="External"/><Relationship Id="rId14" Type="http://schemas.openxmlformats.org/officeDocument/2006/relationships/hyperlink" Target="javascript:__doPostBack('ctl00$ctl00$ContentPlaceHolder1$ContentPlaceHolder1$rptStandard$ctl00$lbtnDeta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380</Words>
  <Characters>2166</Characters>
  <Application>Microsoft Office Word</Application>
  <DocSecurity>0</DocSecurity>
  <Lines>18</Lines>
  <Paragraphs>5</Paragraphs>
  <ScaleCrop>false</ScaleCrop>
  <Company>Legend (Beijing) Limited</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微软用户</cp:lastModifiedBy>
  <cp:revision>16</cp:revision>
  <cp:lastPrinted>2025-04-01T06:38:00Z</cp:lastPrinted>
  <dcterms:created xsi:type="dcterms:W3CDTF">2024-04-22T09:46:00Z</dcterms:created>
  <dcterms:modified xsi:type="dcterms:W3CDTF">2025-04-01T06:38:00Z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33555B06DFB3425FA99F8BB1672D63AE_13</vt:lpwstr>
  </property>
</Properties>
</file>