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D7E" w:rsidRDefault="00A7345E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bCs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color w:val="000000"/>
          <w:sz w:val="44"/>
          <w:szCs w:val="44"/>
        </w:rPr>
        <w:t>商品煤产品质量济源市监督抽查实施细则</w:t>
      </w:r>
    </w:p>
    <w:p w:rsidR="00F06D7E" w:rsidRPr="004B1820" w:rsidRDefault="00A7345E">
      <w:pPr>
        <w:pStyle w:val="a0"/>
        <w:spacing w:after="0" w:line="560" w:lineRule="exact"/>
        <w:ind w:firstLine="320"/>
        <w:jc w:val="center"/>
        <w:rPr>
          <w:rFonts w:ascii="仿宋" w:eastAsia="仿宋" w:hAnsi="仿宋" w:cs="华文仿宋"/>
          <w:bCs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bCs/>
          <w:color w:val="000000"/>
          <w:sz w:val="32"/>
          <w:szCs w:val="32"/>
        </w:rPr>
        <w:t>（202</w:t>
      </w:r>
      <w:r w:rsidR="005C0A01" w:rsidRPr="004B1820">
        <w:rPr>
          <w:rFonts w:ascii="仿宋" w:eastAsia="仿宋" w:hAnsi="仿宋" w:cs="华文仿宋" w:hint="eastAsia"/>
          <w:bCs/>
          <w:color w:val="000000"/>
          <w:sz w:val="32"/>
          <w:szCs w:val="32"/>
        </w:rPr>
        <w:t>5</w:t>
      </w:r>
      <w:r w:rsidRPr="004B1820">
        <w:rPr>
          <w:rFonts w:ascii="仿宋" w:eastAsia="仿宋" w:hAnsi="仿宋" w:cs="华文仿宋" w:hint="eastAsia"/>
          <w:bCs/>
          <w:color w:val="000000"/>
          <w:sz w:val="32"/>
          <w:szCs w:val="32"/>
        </w:rPr>
        <w:t>年版）</w:t>
      </w:r>
    </w:p>
    <w:p w:rsidR="00F06D7E" w:rsidRPr="004B1820" w:rsidRDefault="00F06D7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4B1820">
        <w:rPr>
          <w:rFonts w:ascii="仿宋" w:eastAsia="仿宋" w:hAnsi="仿宋" w:cs="华文仿宋" w:hint="eastAsia"/>
          <w:sz w:val="32"/>
          <w:szCs w:val="32"/>
        </w:rPr>
        <w:t>本细则适用济源市市场监督管理局组</w:t>
      </w:r>
      <w:bookmarkStart w:id="0" w:name="_GoBack"/>
      <w:bookmarkEnd w:id="0"/>
      <w:r w:rsidRPr="004B1820">
        <w:rPr>
          <w:rFonts w:ascii="仿宋" w:eastAsia="仿宋" w:hAnsi="仿宋" w:cs="华文仿宋" w:hint="eastAsia"/>
          <w:sz w:val="32"/>
          <w:szCs w:val="32"/>
        </w:rPr>
        <w:t>织的商品煤产品质量监督抽查。本细则规定了此产品的抽样方法、检验依据、检验项目、检验方法、判定规则等。</w:t>
      </w:r>
    </w:p>
    <w:p w:rsidR="00F06D7E" w:rsidRPr="004B1820" w:rsidRDefault="00A7345E" w:rsidP="004B1820">
      <w:pPr>
        <w:spacing w:line="560" w:lineRule="exact"/>
        <w:ind w:firstLineChars="200" w:firstLine="643"/>
        <w:rPr>
          <w:rFonts w:ascii="仿宋" w:eastAsia="仿宋" w:hAnsi="仿宋" w:cs="华文仿宋"/>
          <w:b/>
          <w:bCs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b/>
          <w:bCs/>
          <w:color w:val="000000"/>
          <w:sz w:val="32"/>
          <w:szCs w:val="32"/>
        </w:rPr>
        <w:t>1 抽样方法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color w:val="000000"/>
          <w:sz w:val="32"/>
          <w:szCs w:val="32"/>
        </w:rPr>
        <w:t>以随机抽样方式在被抽样生产者、销售者的待销产品中抽取。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color w:val="000000"/>
          <w:sz w:val="32"/>
          <w:szCs w:val="32"/>
        </w:rPr>
        <w:t>随</w:t>
      </w:r>
      <w:r w:rsidRPr="004B1820">
        <w:rPr>
          <w:rFonts w:ascii="仿宋" w:eastAsia="仿宋" w:hAnsi="仿宋" w:cs="华文仿宋" w:hint="eastAsia"/>
          <w:color w:val="000000"/>
          <w:spacing w:val="-6"/>
          <w:sz w:val="32"/>
          <w:szCs w:val="32"/>
        </w:rPr>
        <w:t>机数一般可使用随机数表、随机数骰子或扑克牌等方法产生。</w:t>
      </w:r>
    </w:p>
    <w:p w:rsidR="00F06D7E" w:rsidRPr="004B1820" w:rsidRDefault="00A7345E">
      <w:pPr>
        <w:pStyle w:val="af2"/>
        <w:widowControl w:val="0"/>
        <w:tabs>
          <w:tab w:val="clear" w:pos="840"/>
        </w:tabs>
        <w:spacing w:line="560" w:lineRule="exact"/>
        <w:ind w:left="0" w:firstLine="198"/>
        <w:jc w:val="center"/>
        <w:rPr>
          <w:rFonts w:ascii="仿宋" w:eastAsia="仿宋" w:hAnsi="仿宋" w:cs="华文仿宋"/>
          <w:b/>
          <w:bCs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b/>
          <w:bCs/>
          <w:color w:val="000000"/>
          <w:sz w:val="32"/>
          <w:szCs w:val="32"/>
        </w:rPr>
        <w:t>表1样品抽取数量</w:t>
      </w:r>
    </w:p>
    <w:tbl>
      <w:tblPr>
        <w:tblW w:w="9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96"/>
        <w:gridCol w:w="1560"/>
        <w:gridCol w:w="1560"/>
        <w:gridCol w:w="2370"/>
        <w:gridCol w:w="2689"/>
      </w:tblGrid>
      <w:tr w:rsidR="00F06D7E" w:rsidRPr="004B1820">
        <w:trPr>
          <w:cantSplit/>
          <w:trHeight w:val="532"/>
          <w:jc w:val="center"/>
        </w:trPr>
        <w:tc>
          <w:tcPr>
            <w:tcW w:w="896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56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bCs/>
                <w:color w:val="000000"/>
                <w:kern w:val="0"/>
                <w:sz w:val="32"/>
                <w:szCs w:val="32"/>
              </w:rPr>
              <w:t>产品种类</w:t>
            </w:r>
          </w:p>
        </w:tc>
        <w:tc>
          <w:tcPr>
            <w:tcW w:w="156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bCs/>
                <w:color w:val="000000"/>
                <w:kern w:val="0"/>
                <w:sz w:val="32"/>
                <w:szCs w:val="32"/>
              </w:rPr>
              <w:t>抽样数量（kg）</w:t>
            </w:r>
          </w:p>
        </w:tc>
        <w:tc>
          <w:tcPr>
            <w:tcW w:w="237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检验样品数量</w:t>
            </w:r>
            <w:r w:rsidRPr="004B1820">
              <w:rPr>
                <w:rFonts w:ascii="仿宋" w:eastAsia="仿宋" w:hAnsi="仿宋" w:cs="华文仿宋" w:hint="eastAsia"/>
                <w:bCs/>
                <w:color w:val="000000"/>
                <w:kern w:val="0"/>
                <w:sz w:val="32"/>
                <w:szCs w:val="32"/>
              </w:rPr>
              <w:t>（kg）</w:t>
            </w:r>
          </w:p>
        </w:tc>
        <w:tc>
          <w:tcPr>
            <w:tcW w:w="2689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bCs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备用样品数量</w:t>
            </w:r>
            <w:r w:rsidRPr="004B1820">
              <w:rPr>
                <w:rFonts w:ascii="仿宋" w:eastAsia="仿宋" w:hAnsi="仿宋" w:cs="华文仿宋" w:hint="eastAsia"/>
                <w:bCs/>
                <w:color w:val="000000"/>
                <w:kern w:val="0"/>
                <w:sz w:val="32"/>
                <w:szCs w:val="32"/>
              </w:rPr>
              <w:t>（kg）</w:t>
            </w:r>
          </w:p>
        </w:tc>
      </w:tr>
      <w:tr w:rsidR="00F06D7E" w:rsidRPr="004B1820">
        <w:trPr>
          <w:cantSplit/>
          <w:trHeight w:val="426"/>
          <w:jc w:val="center"/>
        </w:trPr>
        <w:tc>
          <w:tcPr>
            <w:tcW w:w="896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6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商品煤</w:t>
            </w:r>
          </w:p>
        </w:tc>
        <w:tc>
          <w:tcPr>
            <w:tcW w:w="156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237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689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kern w:val="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</w:tr>
    </w:tbl>
    <w:p w:rsidR="00F06D7E" w:rsidRPr="004B1820" w:rsidRDefault="00A7345E" w:rsidP="004B1820">
      <w:pPr>
        <w:spacing w:line="560" w:lineRule="exact"/>
        <w:ind w:firstLineChars="200" w:firstLine="643"/>
        <w:rPr>
          <w:rFonts w:ascii="仿宋" w:eastAsia="仿宋" w:hAnsi="仿宋" w:cs="华文仿宋"/>
          <w:b/>
          <w:bCs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b/>
          <w:bCs/>
          <w:color w:val="000000"/>
          <w:sz w:val="32"/>
          <w:szCs w:val="32"/>
        </w:rPr>
        <w:t>2 检验依据</w:t>
      </w:r>
    </w:p>
    <w:p w:rsidR="00F06D7E" w:rsidRPr="004B1820" w:rsidRDefault="00A7345E">
      <w:pPr>
        <w:pStyle w:val="ac"/>
        <w:widowControl w:val="0"/>
        <w:spacing w:before="0" w:beforeAutospacing="0" w:after="0" w:afterAutospacing="0" w:line="560" w:lineRule="exact"/>
        <w:ind w:firstLine="198"/>
        <w:contextualSpacing/>
        <w:jc w:val="center"/>
        <w:rPr>
          <w:rFonts w:ascii="仿宋" w:eastAsia="仿宋" w:hAnsi="仿宋" w:cs="华文仿宋"/>
          <w:b/>
          <w:kern w:val="2"/>
          <w:sz w:val="32"/>
          <w:szCs w:val="32"/>
        </w:rPr>
      </w:pPr>
      <w:r w:rsidRPr="004B1820">
        <w:rPr>
          <w:rFonts w:ascii="仿宋" w:eastAsia="仿宋" w:hAnsi="仿宋" w:cs="华文仿宋" w:hint="eastAsia"/>
          <w:b/>
          <w:kern w:val="2"/>
          <w:sz w:val="32"/>
          <w:szCs w:val="32"/>
        </w:rPr>
        <w:t>表2 商品煤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20"/>
        <w:gridCol w:w="1454"/>
        <w:gridCol w:w="4163"/>
        <w:gridCol w:w="2564"/>
      </w:tblGrid>
      <w:tr w:rsidR="00F06D7E" w:rsidRPr="004B1820">
        <w:trPr>
          <w:cantSplit/>
          <w:trHeight w:val="23"/>
          <w:tblHeader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检验项目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依据标准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检验方法标准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1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灰分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 212-2008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2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全硫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 214-2007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3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发热量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 213-2008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4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磷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GB/T216-2003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5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氯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GB/T3558-2014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6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氟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GB/T4633-2014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lastRenderedPageBreak/>
              <w:t>7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汞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CD6B82" w:rsidRDefault="00A7345E" w:rsidP="004B1820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 w:themeColor="text1"/>
                <w:sz w:val="32"/>
                <w:szCs w:val="32"/>
              </w:rPr>
            </w:pPr>
            <w:r w:rsidRPr="00CD6B82">
              <w:rPr>
                <w:rFonts w:ascii="仿宋" w:eastAsia="仿宋" w:hAnsi="仿宋" w:cs="华文仿宋" w:hint="eastAsia"/>
                <w:color w:val="000000" w:themeColor="text1"/>
                <w:sz w:val="32"/>
                <w:szCs w:val="32"/>
              </w:rPr>
              <w:t>GB/T16659-20</w:t>
            </w:r>
            <w:r w:rsidR="004B1820" w:rsidRPr="00CD6B82">
              <w:rPr>
                <w:rFonts w:ascii="仿宋" w:eastAsia="仿宋" w:hAnsi="仿宋" w:cs="华文仿宋" w:hint="eastAsia"/>
                <w:color w:val="000000" w:themeColor="text1"/>
                <w:sz w:val="32"/>
                <w:szCs w:val="32"/>
              </w:rPr>
              <w:t>24</w:t>
            </w:r>
          </w:p>
        </w:tc>
      </w:tr>
      <w:tr w:rsidR="00F06D7E" w:rsidRPr="004B1820">
        <w:trPr>
          <w:cantSplit/>
          <w:trHeight w:val="23"/>
          <w:jc w:val="center"/>
        </w:trPr>
        <w:tc>
          <w:tcPr>
            <w:tcW w:w="720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8</w:t>
            </w:r>
          </w:p>
        </w:tc>
        <w:tc>
          <w:tcPr>
            <w:tcW w:w="145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砷</w:t>
            </w:r>
          </w:p>
        </w:tc>
        <w:tc>
          <w:tcPr>
            <w:tcW w:w="4163" w:type="dxa"/>
          </w:tcPr>
          <w:p w:rsidR="00F06D7E" w:rsidRPr="004B1820" w:rsidRDefault="00A7345E">
            <w:pPr>
              <w:spacing w:line="360" w:lineRule="exact"/>
              <w:ind w:firstLineChars="200" w:firstLine="640"/>
              <w:jc w:val="center"/>
              <w:rPr>
                <w:rFonts w:ascii="仿宋" w:eastAsia="仿宋" w:hAnsi="仿宋" w:cs="华文仿宋"/>
                <w:sz w:val="32"/>
                <w:szCs w:val="32"/>
              </w:rPr>
            </w:pPr>
            <w:proofErr w:type="gramStart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豫发改</w:t>
            </w:r>
            <w:proofErr w:type="gramEnd"/>
            <w:r w:rsidRPr="004B1820">
              <w:rPr>
                <w:rFonts w:ascii="仿宋" w:eastAsia="仿宋" w:hAnsi="仿宋" w:cs="华文仿宋" w:hint="eastAsia"/>
                <w:sz w:val="32"/>
                <w:szCs w:val="32"/>
              </w:rPr>
              <w:t>能源〔2015〕1176号文件</w:t>
            </w:r>
          </w:p>
        </w:tc>
        <w:tc>
          <w:tcPr>
            <w:tcW w:w="2564" w:type="dxa"/>
            <w:vAlign w:val="center"/>
          </w:tcPr>
          <w:p w:rsidR="00F06D7E" w:rsidRPr="004B1820" w:rsidRDefault="00A7345E">
            <w:pPr>
              <w:spacing w:line="360" w:lineRule="exact"/>
              <w:jc w:val="center"/>
              <w:rPr>
                <w:rFonts w:ascii="仿宋" w:eastAsia="仿宋" w:hAnsi="仿宋" w:cs="华文仿宋"/>
                <w:color w:val="000000"/>
                <w:sz w:val="32"/>
                <w:szCs w:val="32"/>
              </w:rPr>
            </w:pPr>
            <w:r w:rsidRPr="004B1820">
              <w:rPr>
                <w:rFonts w:ascii="仿宋" w:eastAsia="仿宋" w:hAnsi="仿宋" w:cs="华文仿宋" w:hint="eastAsia"/>
                <w:color w:val="000000"/>
                <w:sz w:val="32"/>
                <w:szCs w:val="32"/>
              </w:rPr>
              <w:t>GB/T3058-2019</w:t>
            </w:r>
          </w:p>
        </w:tc>
      </w:tr>
    </w:tbl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r w:rsidRPr="004B1820">
        <w:rPr>
          <w:rFonts w:ascii="仿宋" w:eastAsia="仿宋" w:hAnsi="仿宋" w:cs="华文仿宋" w:hint="eastAsia"/>
          <w:sz w:val="32"/>
          <w:szCs w:val="32"/>
        </w:rPr>
        <w:t>凡是注日期的文件，其随后所有的修改单（不包括勘误的内容）或修订版不适用于本细则。凡是不注日期的文件，其最新版本适用于本细则。</w:t>
      </w:r>
    </w:p>
    <w:p w:rsidR="00F06D7E" w:rsidRPr="004B1820" w:rsidRDefault="00A7345E" w:rsidP="004B1820">
      <w:pPr>
        <w:spacing w:line="560" w:lineRule="exact"/>
        <w:ind w:firstLineChars="200" w:firstLine="643"/>
        <w:rPr>
          <w:rFonts w:ascii="仿宋" w:eastAsia="仿宋" w:hAnsi="仿宋" w:cs="华文仿宋"/>
          <w:b/>
          <w:bCs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b/>
          <w:bCs/>
          <w:color w:val="000000"/>
          <w:sz w:val="32"/>
          <w:szCs w:val="32"/>
        </w:rPr>
        <w:t>3 判定规则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color w:val="000000"/>
          <w:sz w:val="32"/>
          <w:szCs w:val="32"/>
        </w:rPr>
        <w:t>3.1依据标准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sz w:val="32"/>
          <w:szCs w:val="32"/>
        </w:rPr>
      </w:pPr>
      <w:proofErr w:type="gramStart"/>
      <w:r w:rsidRPr="004B1820">
        <w:rPr>
          <w:rFonts w:ascii="仿宋" w:eastAsia="仿宋" w:hAnsi="仿宋" w:cs="华文仿宋" w:hint="eastAsia"/>
          <w:sz w:val="32"/>
          <w:szCs w:val="32"/>
        </w:rPr>
        <w:t>豫发改</w:t>
      </w:r>
      <w:proofErr w:type="gramEnd"/>
      <w:r w:rsidRPr="004B1820">
        <w:rPr>
          <w:rFonts w:ascii="仿宋" w:eastAsia="仿宋" w:hAnsi="仿宋" w:cs="华文仿宋" w:hint="eastAsia"/>
          <w:sz w:val="32"/>
          <w:szCs w:val="32"/>
        </w:rPr>
        <w:t>能源〔2015〕1176号文件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color w:val="000000"/>
          <w:sz w:val="32"/>
          <w:szCs w:val="32"/>
        </w:rPr>
        <w:t>3.2判定原则</w:t>
      </w:r>
    </w:p>
    <w:p w:rsidR="00F06D7E" w:rsidRPr="004B1820" w:rsidRDefault="00A7345E">
      <w:pPr>
        <w:spacing w:line="560" w:lineRule="exact"/>
        <w:ind w:firstLineChars="200" w:firstLine="640"/>
        <w:rPr>
          <w:rFonts w:ascii="仿宋" w:eastAsia="仿宋" w:hAnsi="仿宋" w:cs="华文仿宋"/>
          <w:color w:val="000000"/>
          <w:sz w:val="32"/>
          <w:szCs w:val="32"/>
        </w:rPr>
      </w:pPr>
      <w:r w:rsidRPr="004B1820">
        <w:rPr>
          <w:rFonts w:ascii="仿宋" w:eastAsia="仿宋" w:hAnsi="仿宋" w:cs="华文仿宋" w:hint="eastAsia"/>
          <w:color w:val="000000"/>
          <w:sz w:val="32"/>
          <w:szCs w:val="32"/>
        </w:rPr>
        <w:t>经检验，检验项目全部合格，判定为被抽查产品所检项目未发现不合格；检验项目中任一项或一项以上不合格，判定为被抽查产品不合格。</w:t>
      </w:r>
    </w:p>
    <w:sectPr w:rsidR="00F06D7E" w:rsidRPr="004B1820" w:rsidSect="00910890">
      <w:headerReference w:type="default" r:id="rId8"/>
      <w:footerReference w:type="even" r:id="rId9"/>
      <w:footerReference w:type="default" r:id="rId10"/>
      <w:pgSz w:w="11906" w:h="16838"/>
      <w:pgMar w:top="2098" w:right="1474" w:bottom="1814" w:left="1587" w:header="851" w:footer="1191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8BE" w:rsidRDefault="005C68BE">
      <w:r>
        <w:separator/>
      </w:r>
    </w:p>
  </w:endnote>
  <w:endnote w:type="continuationSeparator" w:id="0">
    <w:p w:rsidR="005C68BE" w:rsidRDefault="005C68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7E" w:rsidRDefault="00910890">
    <w:pPr>
      <w:pStyle w:val="aa"/>
      <w:framePr w:wrap="around" w:vAnchor="text" w:hAnchor="margin" w:xAlign="center" w:y="1"/>
      <w:rPr>
        <w:rStyle w:val="ae"/>
      </w:rPr>
    </w:pPr>
    <w:r>
      <w:fldChar w:fldCharType="begin"/>
    </w:r>
    <w:r w:rsidR="00A7345E">
      <w:rPr>
        <w:rStyle w:val="ae"/>
      </w:rPr>
      <w:instrText xml:space="preserve">PAGE  </w:instrText>
    </w:r>
    <w:r>
      <w:fldChar w:fldCharType="separate"/>
    </w:r>
    <w:r w:rsidR="00A7345E">
      <w:rPr>
        <w:rStyle w:val="ae"/>
      </w:rPr>
      <w:t>2</w:t>
    </w:r>
    <w:r>
      <w:fldChar w:fldCharType="end"/>
    </w:r>
  </w:p>
  <w:p w:rsidR="00F06D7E" w:rsidRDefault="00F06D7E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7E" w:rsidRDefault="00910890">
    <w:pPr>
      <w:pStyle w:val="aa"/>
      <w:jc w:val="center"/>
      <w:rPr>
        <w:rFonts w:ascii="仿宋_GB2312" w:eastAsia="仿宋_GB2312" w:hAnsi="仿宋_GB2312" w:cs="仿宋_GB2312"/>
        <w:sz w:val="28"/>
        <w:szCs w:val="28"/>
      </w:rPr>
    </w:pPr>
    <w:r>
      <w:rPr>
        <w:rFonts w:ascii="仿宋_GB2312" w:eastAsia="仿宋_GB2312" w:hAnsi="仿宋_GB2312" w:cs="仿宋_GB2312" w:hint="eastAsia"/>
        <w:sz w:val="28"/>
        <w:szCs w:val="28"/>
      </w:rPr>
      <w:fldChar w:fldCharType="begin"/>
    </w:r>
    <w:r w:rsidR="00A7345E">
      <w:rPr>
        <w:rFonts w:ascii="仿宋_GB2312" w:eastAsia="仿宋_GB2312" w:hAnsi="仿宋_GB2312" w:cs="仿宋_GB2312" w:hint="eastAsia"/>
        <w:sz w:val="28"/>
        <w:szCs w:val="28"/>
      </w:rPr>
      <w:instrText>PAGE   \* MERGEFORMAT</w:instrText>
    </w:r>
    <w:r>
      <w:rPr>
        <w:rFonts w:ascii="仿宋_GB2312" w:eastAsia="仿宋_GB2312" w:hAnsi="仿宋_GB2312" w:cs="仿宋_GB2312" w:hint="eastAsia"/>
        <w:sz w:val="28"/>
        <w:szCs w:val="28"/>
      </w:rPr>
      <w:fldChar w:fldCharType="separate"/>
    </w:r>
    <w:r w:rsidR="00CD6B82" w:rsidRPr="00CD6B82">
      <w:rPr>
        <w:rFonts w:ascii="仿宋_GB2312" w:eastAsia="仿宋_GB2312" w:hAnsi="仿宋_GB2312" w:cs="仿宋_GB2312"/>
        <w:noProof/>
        <w:sz w:val="28"/>
        <w:szCs w:val="28"/>
        <w:lang w:val="zh-CN"/>
      </w:rPr>
      <w:t>1</w:t>
    </w:r>
    <w:r>
      <w:rPr>
        <w:rFonts w:ascii="仿宋_GB2312" w:eastAsia="仿宋_GB2312" w:hAnsi="仿宋_GB2312" w:cs="仿宋_GB2312" w:hint="eastAsia"/>
        <w:sz w:val="28"/>
        <w:szCs w:val="28"/>
      </w:rPr>
      <w:fldChar w:fldCharType="end"/>
    </w:r>
  </w:p>
  <w:p w:rsidR="00F06D7E" w:rsidRDefault="00F06D7E">
    <w:pPr>
      <w:pStyle w:val="aa"/>
      <w:ind w:right="360"/>
      <w:rPr>
        <w:rFonts w:ascii="仿宋_GB2312" w:eastAsia="仿宋_GB2312" w:hAnsi="仿宋_GB2312" w:cs="仿宋_GB2312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8BE" w:rsidRDefault="005C68BE">
      <w:r>
        <w:separator/>
      </w:r>
    </w:p>
  </w:footnote>
  <w:footnote w:type="continuationSeparator" w:id="0">
    <w:p w:rsidR="005C68BE" w:rsidRDefault="005C68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6D7E" w:rsidRDefault="00F06D7E">
    <w:pPr>
      <w:pStyle w:val="ab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OGM1M2FhZjFkMGNjZGM3MTA2OTc3MmM3NTMzZTdmNTYifQ=="/>
  </w:docVars>
  <w:rsids>
    <w:rsidRoot w:val="00172A27"/>
    <w:rsid w:val="EB9BADC1"/>
    <w:rsid w:val="00001454"/>
    <w:rsid w:val="00005A08"/>
    <w:rsid w:val="00011FA6"/>
    <w:rsid w:val="00023857"/>
    <w:rsid w:val="00051A44"/>
    <w:rsid w:val="0005266A"/>
    <w:rsid w:val="0005503E"/>
    <w:rsid w:val="00064FD2"/>
    <w:rsid w:val="00081CBD"/>
    <w:rsid w:val="0008294F"/>
    <w:rsid w:val="000976DE"/>
    <w:rsid w:val="000B0D0C"/>
    <w:rsid w:val="000B2716"/>
    <w:rsid w:val="000D54F1"/>
    <w:rsid w:val="000E386E"/>
    <w:rsid w:val="000E61DF"/>
    <w:rsid w:val="000F0F48"/>
    <w:rsid w:val="001119D4"/>
    <w:rsid w:val="00116DD2"/>
    <w:rsid w:val="001526B5"/>
    <w:rsid w:val="00153008"/>
    <w:rsid w:val="00154D8E"/>
    <w:rsid w:val="00155349"/>
    <w:rsid w:val="00165E59"/>
    <w:rsid w:val="0016671E"/>
    <w:rsid w:val="0017196D"/>
    <w:rsid w:val="00172A27"/>
    <w:rsid w:val="00177A72"/>
    <w:rsid w:val="001809DD"/>
    <w:rsid w:val="001927CF"/>
    <w:rsid w:val="00192A0B"/>
    <w:rsid w:val="001A2432"/>
    <w:rsid w:val="001B03F1"/>
    <w:rsid w:val="001B14F7"/>
    <w:rsid w:val="001B3DD5"/>
    <w:rsid w:val="001C78EC"/>
    <w:rsid w:val="001E56A3"/>
    <w:rsid w:val="001E7965"/>
    <w:rsid w:val="00205F3E"/>
    <w:rsid w:val="00226B97"/>
    <w:rsid w:val="00232774"/>
    <w:rsid w:val="002530F1"/>
    <w:rsid w:val="00253624"/>
    <w:rsid w:val="00261B5A"/>
    <w:rsid w:val="00262DFD"/>
    <w:rsid w:val="002D5F41"/>
    <w:rsid w:val="002D7F8A"/>
    <w:rsid w:val="002E0D1D"/>
    <w:rsid w:val="002E46ED"/>
    <w:rsid w:val="002F1231"/>
    <w:rsid w:val="00304E66"/>
    <w:rsid w:val="003138F3"/>
    <w:rsid w:val="003203A3"/>
    <w:rsid w:val="00324E05"/>
    <w:rsid w:val="00325E19"/>
    <w:rsid w:val="00326800"/>
    <w:rsid w:val="003365CE"/>
    <w:rsid w:val="00343AB7"/>
    <w:rsid w:val="003477E8"/>
    <w:rsid w:val="00353F71"/>
    <w:rsid w:val="00366632"/>
    <w:rsid w:val="00374444"/>
    <w:rsid w:val="00395E47"/>
    <w:rsid w:val="003C388C"/>
    <w:rsid w:val="003D102C"/>
    <w:rsid w:val="003D3AC9"/>
    <w:rsid w:val="003E2920"/>
    <w:rsid w:val="003E61BF"/>
    <w:rsid w:val="004032FB"/>
    <w:rsid w:val="0040360E"/>
    <w:rsid w:val="00412CD1"/>
    <w:rsid w:val="004253BB"/>
    <w:rsid w:val="00445E86"/>
    <w:rsid w:val="00445FA1"/>
    <w:rsid w:val="0045058D"/>
    <w:rsid w:val="00464C63"/>
    <w:rsid w:val="00474E04"/>
    <w:rsid w:val="00482B68"/>
    <w:rsid w:val="004B1820"/>
    <w:rsid w:val="004B3304"/>
    <w:rsid w:val="004B39F0"/>
    <w:rsid w:val="004B490F"/>
    <w:rsid w:val="004D0C5A"/>
    <w:rsid w:val="004D1824"/>
    <w:rsid w:val="004E1396"/>
    <w:rsid w:val="004E4A4B"/>
    <w:rsid w:val="005062BF"/>
    <w:rsid w:val="0051735C"/>
    <w:rsid w:val="005175DF"/>
    <w:rsid w:val="00550A1F"/>
    <w:rsid w:val="00552F9F"/>
    <w:rsid w:val="00563EBC"/>
    <w:rsid w:val="00574EC2"/>
    <w:rsid w:val="0058452F"/>
    <w:rsid w:val="00585B51"/>
    <w:rsid w:val="005908DD"/>
    <w:rsid w:val="005C0A01"/>
    <w:rsid w:val="005C68BE"/>
    <w:rsid w:val="0061526F"/>
    <w:rsid w:val="006461E3"/>
    <w:rsid w:val="00670E6A"/>
    <w:rsid w:val="00674391"/>
    <w:rsid w:val="00675E3C"/>
    <w:rsid w:val="006821CA"/>
    <w:rsid w:val="006B7248"/>
    <w:rsid w:val="006C490B"/>
    <w:rsid w:val="006C5275"/>
    <w:rsid w:val="006C7B79"/>
    <w:rsid w:val="006D4485"/>
    <w:rsid w:val="006D4BAE"/>
    <w:rsid w:val="006F0971"/>
    <w:rsid w:val="006F206B"/>
    <w:rsid w:val="006F4E18"/>
    <w:rsid w:val="006F5285"/>
    <w:rsid w:val="0070419E"/>
    <w:rsid w:val="0071775F"/>
    <w:rsid w:val="00720AC7"/>
    <w:rsid w:val="00721202"/>
    <w:rsid w:val="0072334C"/>
    <w:rsid w:val="00723B3C"/>
    <w:rsid w:val="0073086B"/>
    <w:rsid w:val="007317A8"/>
    <w:rsid w:val="00777498"/>
    <w:rsid w:val="00786E9B"/>
    <w:rsid w:val="007908EB"/>
    <w:rsid w:val="007A180E"/>
    <w:rsid w:val="007A23BB"/>
    <w:rsid w:val="007B6E2D"/>
    <w:rsid w:val="007C5241"/>
    <w:rsid w:val="007E751C"/>
    <w:rsid w:val="0083034C"/>
    <w:rsid w:val="0083758B"/>
    <w:rsid w:val="00841AAE"/>
    <w:rsid w:val="00843C46"/>
    <w:rsid w:val="00850B18"/>
    <w:rsid w:val="00850CA2"/>
    <w:rsid w:val="008575D9"/>
    <w:rsid w:val="00864466"/>
    <w:rsid w:val="00893146"/>
    <w:rsid w:val="00895BEA"/>
    <w:rsid w:val="008A2675"/>
    <w:rsid w:val="008A3497"/>
    <w:rsid w:val="008B0132"/>
    <w:rsid w:val="008D1C38"/>
    <w:rsid w:val="008D4338"/>
    <w:rsid w:val="008E1963"/>
    <w:rsid w:val="008F37DB"/>
    <w:rsid w:val="008F3E20"/>
    <w:rsid w:val="00905513"/>
    <w:rsid w:val="00907E80"/>
    <w:rsid w:val="00910890"/>
    <w:rsid w:val="00917A54"/>
    <w:rsid w:val="0092403A"/>
    <w:rsid w:val="00931C7E"/>
    <w:rsid w:val="00952D48"/>
    <w:rsid w:val="0095633A"/>
    <w:rsid w:val="00964A86"/>
    <w:rsid w:val="009D0B26"/>
    <w:rsid w:val="00A132FF"/>
    <w:rsid w:val="00A22BE6"/>
    <w:rsid w:val="00A37DF5"/>
    <w:rsid w:val="00A41401"/>
    <w:rsid w:val="00A43553"/>
    <w:rsid w:val="00A51BC0"/>
    <w:rsid w:val="00A63EE3"/>
    <w:rsid w:val="00A7345E"/>
    <w:rsid w:val="00A73D4C"/>
    <w:rsid w:val="00A9299B"/>
    <w:rsid w:val="00AA03AE"/>
    <w:rsid w:val="00AC1B99"/>
    <w:rsid w:val="00AD3CAE"/>
    <w:rsid w:val="00AF2C93"/>
    <w:rsid w:val="00B36989"/>
    <w:rsid w:val="00B43BC3"/>
    <w:rsid w:val="00B54E8B"/>
    <w:rsid w:val="00B57B44"/>
    <w:rsid w:val="00B626BD"/>
    <w:rsid w:val="00B67D9F"/>
    <w:rsid w:val="00B861D4"/>
    <w:rsid w:val="00BA0EEF"/>
    <w:rsid w:val="00BD0BF0"/>
    <w:rsid w:val="00BD7935"/>
    <w:rsid w:val="00BE19EB"/>
    <w:rsid w:val="00BF1F6C"/>
    <w:rsid w:val="00BF7B4B"/>
    <w:rsid w:val="00C20E85"/>
    <w:rsid w:val="00C26074"/>
    <w:rsid w:val="00C462D6"/>
    <w:rsid w:val="00C46535"/>
    <w:rsid w:val="00C60697"/>
    <w:rsid w:val="00C837F8"/>
    <w:rsid w:val="00C83B0A"/>
    <w:rsid w:val="00CD6B82"/>
    <w:rsid w:val="00CE1E0C"/>
    <w:rsid w:val="00CE277E"/>
    <w:rsid w:val="00CF03DF"/>
    <w:rsid w:val="00CF6C8B"/>
    <w:rsid w:val="00CF7510"/>
    <w:rsid w:val="00D035AC"/>
    <w:rsid w:val="00D104F9"/>
    <w:rsid w:val="00D11904"/>
    <w:rsid w:val="00D5357F"/>
    <w:rsid w:val="00D56867"/>
    <w:rsid w:val="00D56AA0"/>
    <w:rsid w:val="00D637B3"/>
    <w:rsid w:val="00DA021B"/>
    <w:rsid w:val="00DA47A4"/>
    <w:rsid w:val="00DC3F0E"/>
    <w:rsid w:val="00DC4A5A"/>
    <w:rsid w:val="00DF6A6B"/>
    <w:rsid w:val="00E02A7F"/>
    <w:rsid w:val="00E07880"/>
    <w:rsid w:val="00E212A5"/>
    <w:rsid w:val="00E31D87"/>
    <w:rsid w:val="00E4040C"/>
    <w:rsid w:val="00E604E0"/>
    <w:rsid w:val="00E77219"/>
    <w:rsid w:val="00E82621"/>
    <w:rsid w:val="00EA795D"/>
    <w:rsid w:val="00EC17E4"/>
    <w:rsid w:val="00EE1572"/>
    <w:rsid w:val="00EE509E"/>
    <w:rsid w:val="00F06D7E"/>
    <w:rsid w:val="00F3513C"/>
    <w:rsid w:val="00F4641B"/>
    <w:rsid w:val="00F5021B"/>
    <w:rsid w:val="00F707D9"/>
    <w:rsid w:val="00F77C9A"/>
    <w:rsid w:val="00FA796A"/>
    <w:rsid w:val="00FB576C"/>
    <w:rsid w:val="00FB7DFD"/>
    <w:rsid w:val="00FD2AA6"/>
    <w:rsid w:val="00FE3E8F"/>
    <w:rsid w:val="00FE7E8A"/>
    <w:rsid w:val="0A7B49CF"/>
    <w:rsid w:val="0AE33BE1"/>
    <w:rsid w:val="1233684A"/>
    <w:rsid w:val="13480B17"/>
    <w:rsid w:val="18063ABA"/>
    <w:rsid w:val="1DA752F1"/>
    <w:rsid w:val="1DC9278F"/>
    <w:rsid w:val="1F656C80"/>
    <w:rsid w:val="20D63FCA"/>
    <w:rsid w:val="221B6997"/>
    <w:rsid w:val="28993424"/>
    <w:rsid w:val="290C60E4"/>
    <w:rsid w:val="2B6D07BD"/>
    <w:rsid w:val="2BB97ACD"/>
    <w:rsid w:val="2FB21A9B"/>
    <w:rsid w:val="30123D09"/>
    <w:rsid w:val="35524965"/>
    <w:rsid w:val="37D9410B"/>
    <w:rsid w:val="38BE00CE"/>
    <w:rsid w:val="3B4065B5"/>
    <w:rsid w:val="3BF71656"/>
    <w:rsid w:val="3F337500"/>
    <w:rsid w:val="404C20E2"/>
    <w:rsid w:val="4108498B"/>
    <w:rsid w:val="47F36CDA"/>
    <w:rsid w:val="4ABB3E7C"/>
    <w:rsid w:val="4F306464"/>
    <w:rsid w:val="4FD27820"/>
    <w:rsid w:val="56407115"/>
    <w:rsid w:val="59C82E25"/>
    <w:rsid w:val="59D4455F"/>
    <w:rsid w:val="5A2D0084"/>
    <w:rsid w:val="66BB6758"/>
    <w:rsid w:val="676174A7"/>
    <w:rsid w:val="69561139"/>
    <w:rsid w:val="6BAE476E"/>
    <w:rsid w:val="723A4344"/>
    <w:rsid w:val="77542402"/>
    <w:rsid w:val="786F50A7"/>
    <w:rsid w:val="7CFE7D56"/>
    <w:rsid w:val="7FFEE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Subtitle" w:semiHidden="0" w:uiPriority="11" w:unhideWhenUsed="0" w:qFormat="1"/>
    <w:lsdException w:name="Date" w:semiHidden="0" w:uiPriority="0" w:unhideWhenUsed="0" w:qFormat="1"/>
    <w:lsdException w:name="Body Text First Indent" w:semiHidden="0" w:unhideWhenUsed="0" w:qFormat="1"/>
    <w:lsdException w:name="Body Text Indent 3" w:semiHidden="0" w:unhideWhenUsed="0" w:qFormat="1"/>
    <w:lsdException w:name="Hyperlink" w:qFormat="1"/>
    <w:lsdException w:name="Strong" w:semiHidden="0" w:unhideWhenUsed="0" w:qFormat="1"/>
    <w:lsdException w:name="Emphasis" w:semiHidden="0" w:unhideWhenUsed="0" w:qFormat="1"/>
    <w:lsdException w:name="Plain Text" w:semiHidden="0" w:unhideWhenUsed="0" w:qFormat="1"/>
    <w:lsdException w:name="Normal (Web)" w:semiHidden="0" w:unhideWhenUsed="0" w:qFormat="1"/>
    <w:lsdException w:name="Normal Table" w:qFormat="1"/>
    <w:lsdException w:name="annotation subject" w:semiHidden="0" w:unhideWhenUsed="0" w:qFormat="1"/>
    <w:lsdException w:name="Balloon Text" w:semiHidden="0" w:uiPriority="0" w:unhideWhenUsed="0" w:qFormat="1"/>
    <w:lsdException w:name="Table Grid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91089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910890"/>
    <w:pPr>
      <w:keepNext/>
      <w:keepLines/>
      <w:autoSpaceDE w:val="0"/>
      <w:autoSpaceDN w:val="0"/>
      <w:adjustRightInd w:val="0"/>
      <w:spacing w:before="340" w:after="330" w:line="578" w:lineRule="auto"/>
      <w:jc w:val="left"/>
      <w:outlineLvl w:val="0"/>
    </w:pPr>
    <w:rPr>
      <w:rFonts w:ascii="宋体"/>
      <w:b/>
      <w:bCs/>
      <w:kern w:val="44"/>
      <w:sz w:val="44"/>
      <w:szCs w:val="4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 First Indent"/>
    <w:basedOn w:val="a4"/>
    <w:uiPriority w:val="99"/>
    <w:qFormat/>
    <w:rsid w:val="00910890"/>
    <w:pPr>
      <w:ind w:firstLineChars="100" w:firstLine="420"/>
    </w:pPr>
  </w:style>
  <w:style w:type="paragraph" w:styleId="a4">
    <w:name w:val="Body Text"/>
    <w:basedOn w:val="a"/>
    <w:uiPriority w:val="99"/>
    <w:qFormat/>
    <w:rsid w:val="00910890"/>
    <w:pPr>
      <w:spacing w:after="120"/>
    </w:pPr>
  </w:style>
  <w:style w:type="paragraph" w:styleId="a5">
    <w:name w:val="annotation text"/>
    <w:basedOn w:val="a"/>
    <w:link w:val="Char"/>
    <w:uiPriority w:val="99"/>
    <w:unhideWhenUsed/>
    <w:qFormat/>
    <w:rsid w:val="00910890"/>
    <w:pPr>
      <w:jc w:val="left"/>
    </w:pPr>
  </w:style>
  <w:style w:type="paragraph" w:styleId="a6">
    <w:name w:val="Body Text Indent"/>
    <w:basedOn w:val="a"/>
    <w:link w:val="Char0"/>
    <w:uiPriority w:val="99"/>
    <w:qFormat/>
    <w:rsid w:val="00910890"/>
    <w:pPr>
      <w:ind w:firstLineChars="200" w:firstLine="600"/>
    </w:pPr>
    <w:rPr>
      <w:rFonts w:eastAsia="仿宋_GB2312"/>
      <w:sz w:val="30"/>
      <w:szCs w:val="30"/>
    </w:rPr>
  </w:style>
  <w:style w:type="paragraph" w:styleId="a7">
    <w:name w:val="Plain Text"/>
    <w:basedOn w:val="a"/>
    <w:link w:val="Char1"/>
    <w:uiPriority w:val="99"/>
    <w:qFormat/>
    <w:rsid w:val="00910890"/>
    <w:rPr>
      <w:rFonts w:ascii="宋体" w:hAnsi="Courier New"/>
      <w:kern w:val="0"/>
      <w:sz w:val="20"/>
      <w:szCs w:val="20"/>
    </w:rPr>
  </w:style>
  <w:style w:type="paragraph" w:styleId="a8">
    <w:name w:val="Date"/>
    <w:basedOn w:val="a"/>
    <w:next w:val="a"/>
    <w:link w:val="Char2"/>
    <w:qFormat/>
    <w:rsid w:val="00910890"/>
    <w:rPr>
      <w:sz w:val="24"/>
      <w:szCs w:val="20"/>
    </w:rPr>
  </w:style>
  <w:style w:type="paragraph" w:styleId="a9">
    <w:name w:val="Balloon Text"/>
    <w:basedOn w:val="a"/>
    <w:link w:val="Char3"/>
    <w:qFormat/>
    <w:rsid w:val="00910890"/>
    <w:rPr>
      <w:rFonts w:ascii="Calibri" w:hAnsi="Calibri"/>
      <w:sz w:val="18"/>
      <w:szCs w:val="18"/>
    </w:rPr>
  </w:style>
  <w:style w:type="paragraph" w:styleId="aa">
    <w:name w:val="footer"/>
    <w:basedOn w:val="a"/>
    <w:link w:val="Char4"/>
    <w:uiPriority w:val="99"/>
    <w:unhideWhenUsed/>
    <w:qFormat/>
    <w:rsid w:val="009108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b">
    <w:name w:val="header"/>
    <w:basedOn w:val="a"/>
    <w:link w:val="Char5"/>
    <w:uiPriority w:val="99"/>
    <w:unhideWhenUsed/>
    <w:qFormat/>
    <w:rsid w:val="009108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link w:val="3Char"/>
    <w:uiPriority w:val="99"/>
    <w:qFormat/>
    <w:rsid w:val="00910890"/>
    <w:pPr>
      <w:spacing w:after="120"/>
      <w:ind w:leftChars="200" w:left="420"/>
    </w:pPr>
    <w:rPr>
      <w:rFonts w:ascii="Calibri" w:hAnsi="Calibri"/>
      <w:sz w:val="16"/>
      <w:szCs w:val="16"/>
    </w:rPr>
  </w:style>
  <w:style w:type="paragraph" w:styleId="ac">
    <w:name w:val="Normal (Web)"/>
    <w:basedOn w:val="a"/>
    <w:uiPriority w:val="99"/>
    <w:qFormat/>
    <w:rsid w:val="0091089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d">
    <w:name w:val="annotation subject"/>
    <w:basedOn w:val="a5"/>
    <w:next w:val="a5"/>
    <w:link w:val="Char6"/>
    <w:uiPriority w:val="99"/>
    <w:qFormat/>
    <w:rsid w:val="00910890"/>
    <w:rPr>
      <w:b/>
      <w:bCs/>
      <w:szCs w:val="21"/>
    </w:rPr>
  </w:style>
  <w:style w:type="character" w:styleId="ae">
    <w:name w:val="page number"/>
    <w:qFormat/>
    <w:rsid w:val="00910890"/>
  </w:style>
  <w:style w:type="character" w:customStyle="1" w:styleId="1Char">
    <w:name w:val="标题 1 Char"/>
    <w:link w:val="1"/>
    <w:uiPriority w:val="99"/>
    <w:qFormat/>
    <w:rsid w:val="00910890"/>
    <w:rPr>
      <w:rFonts w:ascii="宋体"/>
      <w:b/>
      <w:bCs/>
      <w:kern w:val="44"/>
      <w:sz w:val="44"/>
      <w:szCs w:val="44"/>
    </w:rPr>
  </w:style>
  <w:style w:type="character" w:customStyle="1" w:styleId="Char">
    <w:name w:val="批注文字 Char"/>
    <w:link w:val="a5"/>
    <w:uiPriority w:val="99"/>
    <w:qFormat/>
    <w:rsid w:val="00910890"/>
    <w:rPr>
      <w:kern w:val="2"/>
      <w:sz w:val="21"/>
      <w:szCs w:val="24"/>
    </w:rPr>
  </w:style>
  <w:style w:type="character" w:customStyle="1" w:styleId="Char0">
    <w:name w:val="正文文本缩进 Char"/>
    <w:link w:val="a6"/>
    <w:uiPriority w:val="99"/>
    <w:qFormat/>
    <w:rsid w:val="00910890"/>
    <w:rPr>
      <w:rFonts w:eastAsia="仿宋_GB2312"/>
      <w:kern w:val="2"/>
      <w:sz w:val="30"/>
      <w:szCs w:val="30"/>
    </w:rPr>
  </w:style>
  <w:style w:type="character" w:customStyle="1" w:styleId="Char1">
    <w:name w:val="纯文本 Char"/>
    <w:link w:val="a7"/>
    <w:uiPriority w:val="99"/>
    <w:qFormat/>
    <w:rsid w:val="00910890"/>
    <w:rPr>
      <w:rFonts w:ascii="宋体" w:hAnsi="Courier New" w:cs="宋体"/>
    </w:rPr>
  </w:style>
  <w:style w:type="character" w:customStyle="1" w:styleId="Char2">
    <w:name w:val="日期 Char"/>
    <w:link w:val="a8"/>
    <w:qFormat/>
    <w:rsid w:val="00910890"/>
    <w:rPr>
      <w:kern w:val="2"/>
      <w:sz w:val="24"/>
    </w:rPr>
  </w:style>
  <w:style w:type="character" w:customStyle="1" w:styleId="Char3">
    <w:name w:val="批注框文本 Char"/>
    <w:link w:val="a9"/>
    <w:qFormat/>
    <w:rsid w:val="00910890"/>
    <w:rPr>
      <w:rFonts w:ascii="Calibri" w:hAnsi="Calibri" w:cs="Calibri"/>
      <w:kern w:val="2"/>
      <w:sz w:val="18"/>
      <w:szCs w:val="18"/>
    </w:rPr>
  </w:style>
  <w:style w:type="character" w:customStyle="1" w:styleId="Char4">
    <w:name w:val="页脚 Char"/>
    <w:link w:val="aa"/>
    <w:uiPriority w:val="99"/>
    <w:qFormat/>
    <w:rsid w:val="00910890"/>
    <w:rPr>
      <w:kern w:val="2"/>
      <w:sz w:val="18"/>
      <w:szCs w:val="18"/>
    </w:rPr>
  </w:style>
  <w:style w:type="character" w:customStyle="1" w:styleId="Char5">
    <w:name w:val="页眉 Char"/>
    <w:link w:val="ab"/>
    <w:uiPriority w:val="99"/>
    <w:semiHidden/>
    <w:qFormat/>
    <w:rsid w:val="00910890"/>
    <w:rPr>
      <w:kern w:val="2"/>
      <w:sz w:val="18"/>
      <w:szCs w:val="18"/>
    </w:rPr>
  </w:style>
  <w:style w:type="character" w:customStyle="1" w:styleId="3Char">
    <w:name w:val="正文文本缩进 3 Char"/>
    <w:link w:val="3"/>
    <w:uiPriority w:val="99"/>
    <w:qFormat/>
    <w:rsid w:val="00910890"/>
    <w:rPr>
      <w:rFonts w:ascii="Calibri" w:hAnsi="Calibri" w:cs="Calibri"/>
      <w:kern w:val="2"/>
      <w:sz w:val="16"/>
      <w:szCs w:val="16"/>
    </w:rPr>
  </w:style>
  <w:style w:type="character" w:customStyle="1" w:styleId="Char6">
    <w:name w:val="批注主题 Char"/>
    <w:link w:val="ad"/>
    <w:uiPriority w:val="99"/>
    <w:qFormat/>
    <w:rsid w:val="00910890"/>
    <w:rPr>
      <w:b/>
      <w:bCs/>
      <w:kern w:val="2"/>
      <w:sz w:val="21"/>
      <w:szCs w:val="21"/>
    </w:rPr>
  </w:style>
  <w:style w:type="paragraph" w:customStyle="1" w:styleId="af">
    <w:name w:val="段"/>
    <w:qFormat/>
    <w:rsid w:val="00910890"/>
    <w:pPr>
      <w:autoSpaceDE w:val="0"/>
      <w:autoSpaceDN w:val="0"/>
      <w:ind w:firstLine="420"/>
      <w:jc w:val="both"/>
    </w:pPr>
    <w:rPr>
      <w:color w:val="000000"/>
    </w:rPr>
  </w:style>
  <w:style w:type="paragraph" w:customStyle="1" w:styleId="10">
    <w:name w:val="修订1"/>
    <w:uiPriority w:val="99"/>
    <w:semiHidden/>
    <w:qFormat/>
    <w:rsid w:val="00910890"/>
    <w:rPr>
      <w:kern w:val="2"/>
      <w:sz w:val="21"/>
      <w:szCs w:val="24"/>
    </w:rPr>
  </w:style>
  <w:style w:type="paragraph" w:customStyle="1" w:styleId="af0">
    <w:name w:val="二级条标题"/>
    <w:basedOn w:val="a"/>
    <w:next w:val="af"/>
    <w:qFormat/>
    <w:rsid w:val="00910890"/>
    <w:pPr>
      <w:widowControl/>
      <w:tabs>
        <w:tab w:val="left" w:pos="1680"/>
      </w:tabs>
      <w:ind w:left="1680" w:hanging="420"/>
      <w:outlineLvl w:val="3"/>
    </w:pPr>
    <w:rPr>
      <w:rFonts w:ascii="黑体" w:eastAsia="黑体"/>
      <w:kern w:val="0"/>
      <w:szCs w:val="20"/>
    </w:rPr>
  </w:style>
  <w:style w:type="paragraph" w:customStyle="1" w:styleId="af1">
    <w:name w:val="二级无标题条"/>
    <w:basedOn w:val="a"/>
    <w:qFormat/>
    <w:rsid w:val="00910890"/>
    <w:rPr>
      <w:szCs w:val="21"/>
    </w:rPr>
  </w:style>
  <w:style w:type="paragraph" w:customStyle="1" w:styleId="af2">
    <w:name w:val="列项·"/>
    <w:uiPriority w:val="99"/>
    <w:qFormat/>
    <w:rsid w:val="00910890"/>
    <w:pPr>
      <w:tabs>
        <w:tab w:val="left" w:pos="840"/>
      </w:tabs>
      <w:ind w:left="420"/>
      <w:jc w:val="both"/>
    </w:pPr>
    <w:rPr>
      <w:rFonts w:ascii="宋体" w:cs="宋体"/>
    </w:rPr>
  </w:style>
  <w:style w:type="paragraph" w:customStyle="1" w:styleId="11">
    <w:name w:val="列出段落1"/>
    <w:basedOn w:val="a"/>
    <w:uiPriority w:val="99"/>
    <w:qFormat/>
    <w:rsid w:val="00910890"/>
    <w:pPr>
      <w:ind w:firstLineChars="200" w:firstLine="420"/>
    </w:pPr>
    <w:rPr>
      <w:rFonts w:ascii="Calibri" w:hAnsi="Calibri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109</Words>
  <Characters>623</Characters>
  <Application>Microsoft Office Word</Application>
  <DocSecurity>0</DocSecurity>
  <Lines>5</Lines>
  <Paragraphs>1</Paragraphs>
  <ScaleCrop>false</ScaleCrop>
  <Company>Legend (Beijing) Limited</Company>
  <LinksUpToDate>false</LinksUpToDate>
  <CharactersWithSpaces>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××产品质量监督抽查实施细则</dc:title>
  <dc:creator>Legend User</dc:creator>
  <cp:lastModifiedBy>微软用户</cp:lastModifiedBy>
  <cp:revision>7</cp:revision>
  <cp:lastPrinted>2025-04-01T06:35:00Z</cp:lastPrinted>
  <dcterms:created xsi:type="dcterms:W3CDTF">2024-04-22T15:05:00Z</dcterms:created>
  <dcterms:modified xsi:type="dcterms:W3CDTF">2025-04-01T06:35:00Z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4850ECBABACD4E61BB92FD96592C1446</vt:lpwstr>
  </property>
</Properties>
</file>